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8E" w:rsidRPr="00B8707F" w:rsidRDefault="00FE058E" w:rsidP="00FE058E">
      <w:pPr>
        <w:spacing w:after="0"/>
        <w:jc w:val="center"/>
        <w:rPr>
          <w:rFonts w:ascii="Arial" w:hAnsi="Arial" w:cs="Arial"/>
          <w:noProof/>
          <w:sz w:val="16"/>
          <w:szCs w:val="16"/>
        </w:rPr>
      </w:pPr>
      <w:bookmarkStart w:id="0" w:name="_GoBack"/>
      <w:bookmarkEnd w:id="0"/>
    </w:p>
    <w:p w:rsidR="008D2B44" w:rsidRPr="008D2B44" w:rsidRDefault="002D075C" w:rsidP="002D075C">
      <w:pPr>
        <w:spacing w:after="0"/>
        <w:rPr>
          <w:sz w:val="24"/>
          <w:szCs w:val="24"/>
        </w:rPr>
      </w:pPr>
      <w:r>
        <w:rPr>
          <w:noProof/>
        </w:rPr>
        <w:t xml:space="preserve">                                  </w:t>
      </w:r>
      <w:r w:rsidR="00FE058E">
        <w:rPr>
          <w:noProof/>
          <w:sz w:val="18"/>
          <w:szCs w:val="18"/>
        </w:rPr>
        <w:drawing>
          <wp:inline distT="0" distB="0" distL="0" distR="0" wp14:anchorId="74059B12" wp14:editId="161B0677">
            <wp:extent cx="2084832"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2084832" cy="1088136"/>
                    </a:xfrm>
                    <a:prstGeom prst="rect">
                      <a:avLst/>
                    </a:prstGeom>
                  </pic:spPr>
                </pic:pic>
              </a:graphicData>
            </a:graphic>
          </wp:inline>
        </w:drawing>
      </w:r>
      <w:r w:rsidR="00FE058E">
        <w:rPr>
          <w:noProof/>
        </w:rPr>
        <w:t xml:space="preserve">                  </w:t>
      </w:r>
      <w:r>
        <w:rPr>
          <w:noProof/>
        </w:rPr>
        <w:t xml:space="preserve">       </w:t>
      </w:r>
      <w:r w:rsidR="00FE058E">
        <w:rPr>
          <w:noProof/>
        </w:rPr>
        <w:t xml:space="preserve">         </w:t>
      </w:r>
      <w:r w:rsidR="008D2B44">
        <w:rPr>
          <w:noProof/>
        </w:rPr>
        <w:drawing>
          <wp:inline distT="0" distB="0" distL="0" distR="0" wp14:anchorId="25D3BF8D" wp14:editId="4768402A">
            <wp:extent cx="1828800" cy="1060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60704"/>
                    </a:xfrm>
                    <a:prstGeom prst="rect">
                      <a:avLst/>
                    </a:prstGeom>
                    <a:noFill/>
                    <a:ln>
                      <a:noFill/>
                    </a:ln>
                  </pic:spPr>
                </pic:pic>
              </a:graphicData>
            </a:graphic>
          </wp:inline>
        </w:drawing>
      </w:r>
      <w:r w:rsidR="008D2B44" w:rsidRPr="008D2B44">
        <w:rPr>
          <w:sz w:val="20"/>
          <w:szCs w:val="20"/>
        </w:rPr>
        <w:t xml:space="preserve">                                       </w:t>
      </w:r>
      <w:r w:rsidR="008D2B44">
        <w:rPr>
          <w:sz w:val="20"/>
          <w:szCs w:val="20"/>
        </w:rPr>
        <w:t xml:space="preserve">        </w:t>
      </w:r>
      <w:r w:rsidR="008D2B44" w:rsidRPr="008D2B44">
        <w:rPr>
          <w:sz w:val="20"/>
          <w:szCs w:val="20"/>
        </w:rPr>
        <w:t xml:space="preserve"> </w:t>
      </w:r>
      <w:r w:rsidR="000E4553">
        <w:rPr>
          <w:sz w:val="20"/>
          <w:szCs w:val="20"/>
        </w:rPr>
        <w:t xml:space="preserve">    </w:t>
      </w:r>
      <w:r w:rsidR="008D2B44" w:rsidRPr="008D2B44">
        <w:rPr>
          <w:sz w:val="20"/>
          <w:szCs w:val="20"/>
        </w:rPr>
        <w:t xml:space="preserve"> </w:t>
      </w:r>
      <w:r w:rsidR="008D2B44">
        <w:rPr>
          <w:sz w:val="24"/>
          <w:szCs w:val="24"/>
        </w:rPr>
        <w:t>________________________________________________________________________________</w:t>
      </w:r>
      <w:r w:rsidR="00A97A4F">
        <w:rPr>
          <w:sz w:val="24"/>
          <w:szCs w:val="24"/>
        </w:rPr>
        <w:t>__</w:t>
      </w:r>
      <w:r w:rsidR="008D2B44">
        <w:rPr>
          <w:sz w:val="24"/>
          <w:szCs w:val="24"/>
        </w:rPr>
        <w:t>__</w:t>
      </w:r>
      <w:r w:rsidR="00B8707F">
        <w:rPr>
          <w:sz w:val="24"/>
          <w:szCs w:val="24"/>
        </w:rPr>
        <w:t>_</w:t>
      </w:r>
      <w:r w:rsidR="008D2B44">
        <w:rPr>
          <w:sz w:val="24"/>
          <w:szCs w:val="24"/>
        </w:rPr>
        <w:t>______</w:t>
      </w:r>
    </w:p>
    <w:p w:rsidR="00B8707F" w:rsidRPr="00464D20" w:rsidRDefault="00A97A4F" w:rsidP="00B8707F">
      <w:pPr>
        <w:spacing w:after="0"/>
        <w:jc w:val="center"/>
        <w:rPr>
          <w:rFonts w:ascii="Arial" w:hAnsi="Arial" w:cs="Arial"/>
          <w:b/>
          <w:sz w:val="16"/>
          <w:szCs w:val="16"/>
        </w:rPr>
      </w:pPr>
      <w:r w:rsidRPr="00A97A4F">
        <w:rPr>
          <w:rFonts w:ascii="Arial" w:hAnsi="Arial" w:cs="Arial"/>
          <w:b/>
          <w:sz w:val="26"/>
          <w:szCs w:val="26"/>
        </w:rPr>
        <w:t>“The only difference between death and taxes is that death doesn’t get worse every time Congress meets.”</w:t>
      </w:r>
      <w:r>
        <w:rPr>
          <w:rFonts w:ascii="Arial" w:hAnsi="Arial" w:cs="Arial"/>
        </w:rPr>
        <w:t xml:space="preserve"> – Will Rogers</w:t>
      </w:r>
    </w:p>
    <w:p w:rsidR="00B8707F" w:rsidRPr="00B8707F" w:rsidRDefault="00B8707F" w:rsidP="00B8707F">
      <w:pPr>
        <w:spacing w:after="0"/>
        <w:jc w:val="center"/>
        <w:rPr>
          <w:rFonts w:ascii="Arial" w:hAnsi="Arial" w:cs="Arial"/>
          <w:b/>
          <w:sz w:val="16"/>
          <w:szCs w:val="16"/>
        </w:rPr>
        <w:sectPr w:rsidR="00B8707F" w:rsidRPr="00B8707F" w:rsidSect="00B8707F">
          <w:headerReference w:type="default" r:id="rId10"/>
          <w:footerReference w:type="default" r:id="rId11"/>
          <w:type w:val="continuous"/>
          <w:pgSz w:w="12240" w:h="15840" w:code="1"/>
          <w:pgMar w:top="288" w:right="432" w:bottom="720" w:left="720" w:header="576" w:footer="720" w:gutter="0"/>
          <w:cols w:space="720"/>
          <w:docGrid w:linePitch="360"/>
        </w:sectPr>
      </w:pPr>
      <w:r>
        <w:rPr>
          <w:rFonts w:ascii="Arial" w:hAnsi="Arial" w:cs="Arial"/>
          <w:b/>
          <w:sz w:val="16"/>
          <w:szCs w:val="16"/>
        </w:rPr>
        <w:t>__________________________________________________________________________________________________________________________</w:t>
      </w:r>
    </w:p>
    <w:p w:rsidR="00AF6E11" w:rsidRPr="00A97A4F" w:rsidRDefault="00AF6E11" w:rsidP="00B8707F">
      <w:pPr>
        <w:spacing w:after="0"/>
        <w:rPr>
          <w:rFonts w:ascii="Arial" w:hAnsi="Arial" w:cs="Arial"/>
          <w:b/>
          <w:sz w:val="20"/>
          <w:szCs w:val="20"/>
        </w:rPr>
      </w:pPr>
    </w:p>
    <w:p w:rsidR="00E431BB" w:rsidRPr="00A97A4F" w:rsidRDefault="00E431BB" w:rsidP="00AF6E11">
      <w:pPr>
        <w:spacing w:after="0"/>
        <w:jc w:val="both"/>
        <w:rPr>
          <w:rFonts w:ascii="Arial" w:hAnsi="Arial" w:cs="Arial"/>
          <w:b/>
          <w:sz w:val="2"/>
          <w:szCs w:val="2"/>
        </w:rPr>
      </w:pPr>
    </w:p>
    <w:p w:rsidR="006737ED" w:rsidRPr="00AF6E11" w:rsidRDefault="006737ED" w:rsidP="00AF6E11">
      <w:pPr>
        <w:spacing w:after="0"/>
        <w:jc w:val="both"/>
        <w:rPr>
          <w:rFonts w:ascii="Arial" w:hAnsi="Arial" w:cs="Arial"/>
          <w:b/>
          <w:sz w:val="24"/>
          <w:szCs w:val="24"/>
        </w:rPr>
        <w:sectPr w:rsidR="006737ED" w:rsidRPr="00AF6E11" w:rsidSect="00A97A4F">
          <w:type w:val="continuous"/>
          <w:pgSz w:w="12240" w:h="15840"/>
          <w:pgMar w:top="288" w:right="432" w:bottom="720" w:left="720" w:header="720" w:footer="720" w:gutter="0"/>
          <w:cols w:num="2" w:space="720"/>
          <w:docGrid w:linePitch="360"/>
        </w:sectPr>
      </w:pPr>
    </w:p>
    <w:p w:rsidR="00A97A4F" w:rsidRDefault="00A97A4F" w:rsidP="00E431BB">
      <w:pPr>
        <w:spacing w:after="0"/>
        <w:jc w:val="both"/>
        <w:rPr>
          <w:rFonts w:ascii="Arial" w:hAnsi="Arial" w:cs="Arial"/>
          <w:sz w:val="24"/>
          <w:szCs w:val="24"/>
        </w:rPr>
      </w:pPr>
      <w:r w:rsidRPr="002B21CF">
        <w:rPr>
          <w:rFonts w:ascii="Arial" w:hAnsi="Arial" w:cs="Arial"/>
          <w:sz w:val="24"/>
          <w:szCs w:val="24"/>
        </w:rPr>
        <w:lastRenderedPageBreak/>
        <w:t xml:space="preserve"> </w:t>
      </w:r>
      <w:r>
        <w:rPr>
          <w:rFonts w:ascii="Arial" w:hAnsi="Arial" w:cs="Arial"/>
          <w:b/>
          <w:noProof/>
          <w:sz w:val="24"/>
          <w:szCs w:val="24"/>
        </w:rPr>
        <w:drawing>
          <wp:inline distT="0" distB="0" distL="0" distR="0" wp14:anchorId="1C94F140" wp14:editId="18F7E18B">
            <wp:extent cx="3118104" cy="207568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3118104" cy="2075688"/>
                    </a:xfrm>
                    <a:prstGeom prst="rect">
                      <a:avLst/>
                    </a:prstGeom>
                  </pic:spPr>
                </pic:pic>
              </a:graphicData>
            </a:graphic>
          </wp:inline>
        </w:drawing>
      </w:r>
    </w:p>
    <w:p w:rsidR="00A97A4F" w:rsidRPr="00A97A4F" w:rsidRDefault="00A97A4F" w:rsidP="00A97A4F">
      <w:pPr>
        <w:spacing w:after="0"/>
        <w:jc w:val="both"/>
        <w:rPr>
          <w:rFonts w:ascii="Arial" w:hAnsi="Arial" w:cs="Arial"/>
          <w:sz w:val="16"/>
          <w:szCs w:val="16"/>
        </w:rPr>
      </w:pPr>
    </w:p>
    <w:p w:rsidR="00A97A4F" w:rsidRDefault="00A97A4F" w:rsidP="00A97A4F">
      <w:pPr>
        <w:spacing w:after="0"/>
        <w:jc w:val="both"/>
        <w:rPr>
          <w:rFonts w:ascii="Arial" w:hAnsi="Arial" w:cs="Arial"/>
          <w:sz w:val="24"/>
          <w:szCs w:val="24"/>
        </w:rPr>
      </w:pPr>
      <w:r>
        <w:rPr>
          <w:rFonts w:ascii="Arial" w:hAnsi="Arial" w:cs="Arial"/>
          <w:sz w:val="24"/>
          <w:szCs w:val="24"/>
        </w:rPr>
        <w:t>Will Rogers was spot on. This year’s tax preparation promises to be more complicated and painful than the last. In addition to the “advertised income tax brackets” in IRS literature, the Alternative Income Tax continues to hit more middle-income taxpayers whose income exceed modest thresholds, as well as squeezing out dollars from legitimate itemized deductions and personal exemptions. Last year’s additional Net Investment Income Tax (imposed to fund Obamacare) on “high income earners” layers an additional 3.8% to net interest, dividends, capital gains, rent, royalty and non-qualified annuity income. Also introduced last year was the .9% Medicare Surtax on wage earners whose joint wages exceeded certain thresholds which required careful allocation in the case of multiple employers during the tax year.</w:t>
      </w:r>
    </w:p>
    <w:p w:rsidR="00A97A4F" w:rsidRDefault="00A97A4F" w:rsidP="00A97A4F">
      <w:pPr>
        <w:spacing w:after="0"/>
        <w:jc w:val="both"/>
        <w:rPr>
          <w:rFonts w:ascii="Arial" w:hAnsi="Arial" w:cs="Arial"/>
          <w:sz w:val="24"/>
          <w:szCs w:val="24"/>
        </w:rPr>
      </w:pPr>
    </w:p>
    <w:p w:rsidR="00A97A4F" w:rsidRDefault="00A97A4F" w:rsidP="00A97A4F">
      <w:pPr>
        <w:spacing w:after="0"/>
        <w:jc w:val="both"/>
        <w:rPr>
          <w:rFonts w:ascii="Arial" w:hAnsi="Arial" w:cs="Arial"/>
          <w:sz w:val="24"/>
          <w:szCs w:val="24"/>
        </w:rPr>
      </w:pPr>
      <w:r>
        <w:rPr>
          <w:rFonts w:ascii="Arial" w:hAnsi="Arial" w:cs="Arial"/>
          <w:sz w:val="24"/>
          <w:szCs w:val="24"/>
        </w:rPr>
        <w:t>According to Kiplinger.com Obamacare further complicates the filing of 2014 tax returns.</w:t>
      </w:r>
    </w:p>
    <w:p w:rsidR="00A97A4F" w:rsidRDefault="00A97A4F" w:rsidP="00A97A4F">
      <w:pPr>
        <w:spacing w:after="0"/>
        <w:jc w:val="both"/>
        <w:rPr>
          <w:rFonts w:ascii="Arial" w:hAnsi="Arial" w:cs="Arial"/>
          <w:sz w:val="24"/>
          <w:szCs w:val="24"/>
        </w:rPr>
      </w:pPr>
      <w:r>
        <w:rPr>
          <w:rFonts w:ascii="Arial" w:hAnsi="Arial" w:cs="Arial"/>
          <w:sz w:val="24"/>
          <w:szCs w:val="24"/>
        </w:rPr>
        <w:lastRenderedPageBreak/>
        <w:t>On 2014 tax returns, Obamacare mandates are monitored, and penalties for noncompliance will be enforced for the first time. Taxpayers will need to document their monthly coverage, and indicate whether an employer provided coverage, or whether you opted out of an employer’s plan to purchase coverage in the marketplace. You may be eligible for premium tax credits if your employer’s lowest-cost plan exceeded 9.5% of your 2014 income. If you receive Form 1095-C from your employer, use this form to calculate whether you are eligible for the premium tax credit.</w:t>
      </w:r>
    </w:p>
    <w:p w:rsidR="00A97A4F" w:rsidRDefault="00A97A4F" w:rsidP="00A97A4F">
      <w:pPr>
        <w:spacing w:after="0"/>
        <w:jc w:val="both"/>
        <w:rPr>
          <w:rFonts w:ascii="Arial" w:hAnsi="Arial" w:cs="Arial"/>
          <w:sz w:val="24"/>
          <w:szCs w:val="24"/>
        </w:rPr>
      </w:pPr>
    </w:p>
    <w:p w:rsidR="00A97A4F" w:rsidRDefault="00A97A4F" w:rsidP="00A97A4F">
      <w:pPr>
        <w:spacing w:after="0"/>
        <w:jc w:val="both"/>
        <w:rPr>
          <w:rFonts w:ascii="Arial" w:hAnsi="Arial" w:cs="Arial"/>
          <w:sz w:val="24"/>
          <w:szCs w:val="24"/>
        </w:rPr>
      </w:pPr>
      <w:r>
        <w:rPr>
          <w:rFonts w:ascii="Arial" w:hAnsi="Arial" w:cs="Arial"/>
          <w:sz w:val="24"/>
          <w:szCs w:val="24"/>
        </w:rPr>
        <w:t>If you received subsidies in 2014 reducing your cost of coverage purchased through the marketplace, you will receive Form 1095-A which contains the information necessary for comparing the subsidy received to the computed eligible amount in order to determine whether some of your advanced credit was higher or lower than your eligibility (triggering a refund to you – or requiring your repayment to IRS).</w:t>
      </w:r>
    </w:p>
    <w:p w:rsidR="00A97A4F" w:rsidRPr="00897B61" w:rsidRDefault="00A97A4F" w:rsidP="00A97A4F">
      <w:pPr>
        <w:spacing w:after="0"/>
        <w:jc w:val="both"/>
        <w:rPr>
          <w:rFonts w:ascii="Arial" w:hAnsi="Arial" w:cs="Arial"/>
          <w:sz w:val="20"/>
          <w:szCs w:val="20"/>
        </w:rPr>
      </w:pPr>
    </w:p>
    <w:p w:rsidR="00A97A4F" w:rsidRDefault="00A97A4F" w:rsidP="00A97A4F">
      <w:pPr>
        <w:spacing w:after="0"/>
        <w:jc w:val="both"/>
        <w:rPr>
          <w:rFonts w:ascii="Arial" w:hAnsi="Arial" w:cs="Arial"/>
          <w:sz w:val="24"/>
          <w:szCs w:val="24"/>
        </w:rPr>
      </w:pPr>
      <w:r>
        <w:rPr>
          <w:rFonts w:ascii="Arial" w:hAnsi="Arial" w:cs="Arial"/>
          <w:sz w:val="24"/>
          <w:szCs w:val="24"/>
        </w:rPr>
        <w:t>Although there are several penalty exemptions, if you were uninsured for some or all of 2014, you may have to pay a penalty of the higher of $95 per person or 1% of your household income above the applicable threshold.</w:t>
      </w:r>
    </w:p>
    <w:p w:rsidR="00A97A4F" w:rsidRDefault="00A97A4F" w:rsidP="00A97A4F">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1EF043A" wp14:editId="3981E0B7">
                <wp:simplePos x="0" y="0"/>
                <wp:positionH relativeFrom="column">
                  <wp:posOffset>13335</wp:posOffset>
                </wp:positionH>
                <wp:positionV relativeFrom="paragraph">
                  <wp:posOffset>88265</wp:posOffset>
                </wp:positionV>
                <wp:extent cx="3333750" cy="752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3337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A4F" w:rsidRPr="008E23C5" w:rsidRDefault="00A97A4F" w:rsidP="00A97A4F">
                            <w:pPr>
                              <w:spacing w:after="0"/>
                              <w:jc w:val="both"/>
                              <w:rPr>
                                <w:rFonts w:ascii="Arial" w:hAnsi="Arial" w:cs="Arial"/>
                                <w:sz w:val="20"/>
                                <w:szCs w:val="20"/>
                              </w:rPr>
                            </w:pPr>
                            <w:r w:rsidRPr="008E23C5">
                              <w:rPr>
                                <w:rFonts w:ascii="Arial" w:hAnsi="Arial" w:cs="Arial"/>
                                <w:sz w:val="20"/>
                                <w:szCs w:val="20"/>
                              </w:rPr>
                              <w:t>In 2015 the penalty increase</w:t>
                            </w:r>
                            <w:r w:rsidR="002D7C2C">
                              <w:rPr>
                                <w:rFonts w:ascii="Arial" w:hAnsi="Arial" w:cs="Arial"/>
                                <w:sz w:val="20"/>
                                <w:szCs w:val="20"/>
                              </w:rPr>
                              <w:t>d</w:t>
                            </w:r>
                            <w:r w:rsidRPr="008E23C5">
                              <w:rPr>
                                <w:rFonts w:ascii="Arial" w:hAnsi="Arial" w:cs="Arial"/>
                                <w:sz w:val="20"/>
                                <w:szCs w:val="20"/>
                              </w:rPr>
                              <w:t xml:space="preserve"> to the higher of two amounts: the basic fine up to $325 per uninsured person or an income-based levy of</w:t>
                            </w:r>
                            <w:r>
                              <w:rPr>
                                <w:rFonts w:ascii="Arial" w:hAnsi="Arial" w:cs="Arial"/>
                                <w:sz w:val="24"/>
                                <w:szCs w:val="24"/>
                              </w:rPr>
                              <w:t xml:space="preserve"> </w:t>
                            </w:r>
                            <w:r w:rsidRPr="008E23C5">
                              <w:rPr>
                                <w:rFonts w:ascii="Arial" w:hAnsi="Arial" w:cs="Arial"/>
                                <w:sz w:val="20"/>
                                <w:szCs w:val="20"/>
                              </w:rPr>
                              <w:t xml:space="preserve">2% of household income exceeding the </w:t>
                            </w:r>
                            <w:r>
                              <w:rPr>
                                <w:rFonts w:ascii="Arial" w:hAnsi="Arial" w:cs="Arial"/>
                                <w:sz w:val="20"/>
                                <w:szCs w:val="20"/>
                              </w:rPr>
                              <w:t xml:space="preserve">applicable </w:t>
                            </w:r>
                            <w:r w:rsidRPr="008E23C5">
                              <w:rPr>
                                <w:rFonts w:ascii="Arial" w:hAnsi="Arial" w:cs="Arial"/>
                                <w:sz w:val="20"/>
                                <w:szCs w:val="20"/>
                              </w:rPr>
                              <w:t>threshold.</w:t>
                            </w:r>
                          </w:p>
                          <w:p w:rsidR="00A97A4F" w:rsidRDefault="00A97A4F" w:rsidP="00A97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F043A" id="_x0000_t202" coordsize="21600,21600" o:spt="202" path="m,l,21600r21600,l21600,xe">
                <v:stroke joinstyle="miter"/>
                <v:path gradientshapeok="t" o:connecttype="rect"/>
              </v:shapetype>
              <v:shape id="Text Box 6" o:spid="_x0000_s1026" type="#_x0000_t202" style="position:absolute;left:0;text-align:left;margin-left:1.05pt;margin-top:6.95pt;width:26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" fillcolor="white [3201]" strokeweight=".5pt">
                <v:textbox>
                  <w:txbxContent>
                    <w:p w:rsidR="00A97A4F" w:rsidRPr="008E23C5" w:rsidRDefault="00A97A4F" w:rsidP="00A97A4F">
                      <w:pPr>
                        <w:spacing w:after="0"/>
                        <w:jc w:val="both"/>
                        <w:rPr>
                          <w:rFonts w:ascii="Arial" w:hAnsi="Arial" w:cs="Arial"/>
                          <w:sz w:val="20"/>
                          <w:szCs w:val="20"/>
                        </w:rPr>
                      </w:pPr>
                      <w:r w:rsidRPr="008E23C5">
                        <w:rPr>
                          <w:rFonts w:ascii="Arial" w:hAnsi="Arial" w:cs="Arial"/>
                          <w:sz w:val="20"/>
                          <w:szCs w:val="20"/>
                        </w:rPr>
                        <w:t>In 2015 the penalty increase</w:t>
                      </w:r>
                      <w:r w:rsidR="002D7C2C">
                        <w:rPr>
                          <w:rFonts w:ascii="Arial" w:hAnsi="Arial" w:cs="Arial"/>
                          <w:sz w:val="20"/>
                          <w:szCs w:val="20"/>
                        </w:rPr>
                        <w:t>d</w:t>
                      </w:r>
                      <w:r w:rsidRPr="008E23C5">
                        <w:rPr>
                          <w:rFonts w:ascii="Arial" w:hAnsi="Arial" w:cs="Arial"/>
                          <w:sz w:val="20"/>
                          <w:szCs w:val="20"/>
                        </w:rPr>
                        <w:t xml:space="preserve"> to the higher of two amounts: the basic fine up to $325 per uninsured person or an income-based levy of</w:t>
                      </w:r>
                      <w:r>
                        <w:rPr>
                          <w:rFonts w:ascii="Arial" w:hAnsi="Arial" w:cs="Arial"/>
                          <w:sz w:val="24"/>
                          <w:szCs w:val="24"/>
                        </w:rPr>
                        <w:t xml:space="preserve"> </w:t>
                      </w:r>
                      <w:r w:rsidRPr="008E23C5">
                        <w:rPr>
                          <w:rFonts w:ascii="Arial" w:hAnsi="Arial" w:cs="Arial"/>
                          <w:sz w:val="20"/>
                          <w:szCs w:val="20"/>
                        </w:rPr>
                        <w:t xml:space="preserve">2% of household income exceeding the </w:t>
                      </w:r>
                      <w:r>
                        <w:rPr>
                          <w:rFonts w:ascii="Arial" w:hAnsi="Arial" w:cs="Arial"/>
                          <w:sz w:val="20"/>
                          <w:szCs w:val="20"/>
                        </w:rPr>
                        <w:t xml:space="preserve">applicable </w:t>
                      </w:r>
                      <w:r w:rsidRPr="008E23C5">
                        <w:rPr>
                          <w:rFonts w:ascii="Arial" w:hAnsi="Arial" w:cs="Arial"/>
                          <w:sz w:val="20"/>
                          <w:szCs w:val="20"/>
                        </w:rPr>
                        <w:t>threshold.</w:t>
                      </w:r>
                    </w:p>
                    <w:p w:rsidR="00A97A4F" w:rsidRDefault="00A97A4F" w:rsidP="00A97A4F"/>
                  </w:txbxContent>
                </v:textbox>
              </v:shape>
            </w:pict>
          </mc:Fallback>
        </mc:AlternateContent>
      </w:r>
    </w:p>
    <w:p w:rsidR="00A97A4F" w:rsidRDefault="00A97A4F" w:rsidP="00A97A4F">
      <w:pPr>
        <w:spacing w:after="0"/>
        <w:jc w:val="both"/>
        <w:rPr>
          <w:rFonts w:ascii="Arial" w:hAnsi="Arial" w:cs="Arial"/>
          <w:sz w:val="24"/>
          <w:szCs w:val="24"/>
        </w:rPr>
      </w:pPr>
    </w:p>
    <w:p w:rsidR="00A97A4F" w:rsidRDefault="00A97A4F" w:rsidP="00A97A4F">
      <w:pPr>
        <w:spacing w:after="0"/>
        <w:jc w:val="both"/>
        <w:rPr>
          <w:rFonts w:ascii="Arial" w:hAnsi="Arial" w:cs="Arial"/>
          <w:sz w:val="24"/>
          <w:szCs w:val="24"/>
        </w:rPr>
      </w:pPr>
    </w:p>
    <w:p w:rsidR="00A97A4F" w:rsidRDefault="00A97A4F" w:rsidP="00A97A4F">
      <w:pPr>
        <w:spacing w:after="0"/>
        <w:jc w:val="both"/>
        <w:rPr>
          <w:rFonts w:ascii="Arial" w:hAnsi="Arial" w:cs="Arial"/>
          <w:sz w:val="24"/>
          <w:szCs w:val="24"/>
        </w:rPr>
      </w:pPr>
    </w:p>
    <w:p w:rsidR="00A97A4F" w:rsidRDefault="00BE36CB" w:rsidP="00E431BB">
      <w:pPr>
        <w:spacing w:after="0"/>
        <w:jc w:val="both"/>
        <w:rPr>
          <w:rFonts w:ascii="Arial" w:hAnsi="Arial" w:cs="Arial"/>
          <w:sz w:val="24"/>
          <w:szCs w:val="24"/>
        </w:rPr>
      </w:pPr>
      <w:r>
        <w:rPr>
          <w:rFonts w:ascii="Arial" w:hAnsi="Arial" w:cs="Arial"/>
          <w:noProof/>
          <w:sz w:val="24"/>
          <w:szCs w:val="24"/>
        </w:rPr>
        <w:lastRenderedPageBreak/>
        <w:drawing>
          <wp:inline distT="0" distB="0" distL="0" distR="0" wp14:anchorId="5069C6E0" wp14:editId="04FF6728">
            <wp:extent cx="1463040" cy="9784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GWRETA5.jpg"/>
                    <pic:cNvPicPr/>
                  </pic:nvPicPr>
                  <pic:blipFill>
                    <a:blip r:embed="rId13">
                      <a:extLst>
                        <a:ext uri="{28A0092B-C50C-407E-A947-70E740481C1C}">
                          <a14:useLocalDpi xmlns:a14="http://schemas.microsoft.com/office/drawing/2010/main" val="0"/>
                        </a:ext>
                      </a:extLst>
                    </a:blip>
                    <a:stretch>
                      <a:fillRect/>
                    </a:stretch>
                  </pic:blipFill>
                  <pic:spPr>
                    <a:xfrm>
                      <a:off x="0" y="0"/>
                      <a:ext cx="1463040" cy="978408"/>
                    </a:xfrm>
                    <a:prstGeom prst="rect">
                      <a:avLst/>
                    </a:prstGeom>
                  </pic:spPr>
                </pic:pic>
              </a:graphicData>
            </a:graphic>
          </wp:inline>
        </w:drawing>
      </w:r>
    </w:p>
    <w:p w:rsidR="00BE36CB" w:rsidRDefault="00BE36CB" w:rsidP="00BE36CB">
      <w:pPr>
        <w:spacing w:after="0"/>
        <w:jc w:val="both"/>
        <w:rPr>
          <w:rFonts w:ascii="Arial" w:hAnsi="Arial" w:cs="Arial"/>
          <w:b/>
          <w:sz w:val="24"/>
          <w:szCs w:val="24"/>
        </w:rPr>
      </w:pPr>
      <w:r>
        <w:rPr>
          <w:rFonts w:ascii="Arial" w:hAnsi="Arial" w:cs="Arial"/>
          <w:b/>
          <w:sz w:val="32"/>
          <w:szCs w:val="32"/>
        </w:rPr>
        <w:t>Audit Red Flags</w:t>
      </w:r>
      <w:r w:rsidRPr="00767A87">
        <w:rPr>
          <w:rFonts w:ascii="Arial" w:hAnsi="Arial" w:cs="Arial"/>
          <w:sz w:val="32"/>
          <w:szCs w:val="32"/>
          <w:vertAlign w:val="superscript"/>
        </w:rPr>
        <w:t>1</w:t>
      </w:r>
      <w:r>
        <w:rPr>
          <w:rFonts w:ascii="Arial" w:hAnsi="Arial" w:cs="Arial"/>
          <w:b/>
          <w:sz w:val="32"/>
          <w:szCs w:val="32"/>
        </w:rPr>
        <w:t xml:space="preserve"> </w:t>
      </w:r>
    </w:p>
    <w:p w:rsidR="00BE36CB" w:rsidRDefault="00BE36CB" w:rsidP="00BE36CB">
      <w:pPr>
        <w:spacing w:after="0"/>
        <w:jc w:val="both"/>
        <w:rPr>
          <w:rFonts w:ascii="Arial" w:hAnsi="Arial" w:cs="Arial"/>
          <w:sz w:val="24"/>
          <w:szCs w:val="24"/>
        </w:rPr>
      </w:pPr>
      <w:r>
        <w:rPr>
          <w:rFonts w:ascii="Arial" w:hAnsi="Arial" w:cs="Arial"/>
          <w:sz w:val="24"/>
          <w:szCs w:val="24"/>
        </w:rPr>
        <w:t>The chances of being audited increase upon various factors including your income level, the types of deductions or losses claimed, the business in which you’re engaged and whether you own foreign assets.</w:t>
      </w:r>
    </w:p>
    <w:p w:rsidR="00BE36CB" w:rsidRDefault="00BE36CB" w:rsidP="00BE36CB">
      <w:pPr>
        <w:spacing w:after="0"/>
        <w:jc w:val="both"/>
        <w:rPr>
          <w:rFonts w:ascii="Arial" w:hAnsi="Arial" w:cs="Arial"/>
          <w:sz w:val="24"/>
          <w:szCs w:val="24"/>
        </w:rPr>
      </w:pPr>
    </w:p>
    <w:p w:rsidR="00BE36CB" w:rsidRDefault="00BE36CB" w:rsidP="00BE36CB">
      <w:pPr>
        <w:spacing w:after="0"/>
        <w:jc w:val="both"/>
        <w:rPr>
          <w:rFonts w:ascii="Arial" w:hAnsi="Arial" w:cs="Arial"/>
          <w:sz w:val="24"/>
          <w:szCs w:val="24"/>
        </w:rPr>
      </w:pPr>
      <w:r>
        <w:rPr>
          <w:rFonts w:ascii="Arial" w:hAnsi="Arial" w:cs="Arial"/>
          <w:b/>
          <w:sz w:val="24"/>
          <w:szCs w:val="24"/>
        </w:rPr>
        <w:t>Income level:</w:t>
      </w:r>
      <w:r>
        <w:rPr>
          <w:rFonts w:ascii="Arial" w:hAnsi="Arial" w:cs="Arial"/>
          <w:sz w:val="24"/>
          <w:szCs w:val="24"/>
        </w:rPr>
        <w:t xml:space="preserve"> IRS statistics for 2013 show that one in every 30 returns were audited for people with incomes of $200,000 or more; and one in every 9 returns were audited for incomes of $1,000,000+. But only .88% of returns with income below $200,000 were audited during 2013, and the vast majority of those were conducted by mail.</w:t>
      </w:r>
    </w:p>
    <w:p w:rsidR="00BE36CB" w:rsidRDefault="00BE36CB" w:rsidP="00BE36CB">
      <w:pPr>
        <w:spacing w:after="0"/>
        <w:jc w:val="both"/>
        <w:rPr>
          <w:rFonts w:ascii="Arial" w:hAnsi="Arial" w:cs="Arial"/>
          <w:sz w:val="24"/>
          <w:szCs w:val="24"/>
        </w:rPr>
      </w:pPr>
    </w:p>
    <w:p w:rsidR="00BE36CB" w:rsidRDefault="00BE36CB" w:rsidP="00BE36CB">
      <w:pPr>
        <w:spacing w:after="0"/>
        <w:jc w:val="both"/>
        <w:rPr>
          <w:rFonts w:ascii="Arial" w:hAnsi="Arial" w:cs="Arial"/>
          <w:sz w:val="24"/>
          <w:szCs w:val="24"/>
        </w:rPr>
      </w:pPr>
      <w:r>
        <w:rPr>
          <w:rFonts w:ascii="Arial" w:hAnsi="Arial" w:cs="Arial"/>
          <w:b/>
          <w:sz w:val="24"/>
          <w:szCs w:val="24"/>
        </w:rPr>
        <w:t>Taking disproportionately large charitable deductions compared to your income.</w:t>
      </w:r>
      <w:r>
        <w:rPr>
          <w:rFonts w:ascii="Arial" w:hAnsi="Arial" w:cs="Arial"/>
          <w:sz w:val="24"/>
          <w:szCs w:val="24"/>
        </w:rPr>
        <w:t xml:space="preserve"> Also, if you don’t get an appraisal for donations of valuable property, or if you fail to file Form 8283 for noncash donations over $500, you are an audit target.</w:t>
      </w:r>
    </w:p>
    <w:p w:rsidR="00BE36CB" w:rsidRDefault="00BE36CB" w:rsidP="00BE36CB">
      <w:pPr>
        <w:spacing w:after="0"/>
        <w:jc w:val="both"/>
        <w:rPr>
          <w:rFonts w:ascii="Arial" w:hAnsi="Arial" w:cs="Arial"/>
          <w:sz w:val="24"/>
          <w:szCs w:val="24"/>
        </w:rPr>
      </w:pPr>
    </w:p>
    <w:p w:rsidR="00BE36CB" w:rsidRPr="00D135C8" w:rsidRDefault="00BE36CB" w:rsidP="00BE36CB">
      <w:pPr>
        <w:spacing w:after="0"/>
        <w:jc w:val="both"/>
        <w:rPr>
          <w:rFonts w:ascii="Arial" w:hAnsi="Arial" w:cs="Arial"/>
          <w:sz w:val="24"/>
          <w:szCs w:val="24"/>
        </w:rPr>
      </w:pPr>
      <w:r>
        <w:rPr>
          <w:rFonts w:ascii="Arial" w:hAnsi="Arial" w:cs="Arial"/>
          <w:b/>
          <w:sz w:val="24"/>
          <w:szCs w:val="24"/>
        </w:rPr>
        <w:t xml:space="preserve">Claiming Rental Losses: </w:t>
      </w:r>
      <w:r>
        <w:rPr>
          <w:rFonts w:ascii="Arial" w:hAnsi="Arial" w:cs="Arial"/>
          <w:sz w:val="24"/>
          <w:szCs w:val="24"/>
        </w:rPr>
        <w:t>Normally, the passive loss rules prevent the deduction or rental real estate losses. But there are two important exceptions. If you actively participate in the renting of your property, you can deduct up to $25,000 of loss against your other income. But this $25,000 allowance phases out as adjusted gross income exceeds $100,000 and disappears entirely once your AGI reaches $150,000. A second exception applies to real estate professionals who spend more than 50% of their working hours and 750 or more hours per year materially participating in real estate as developers, brokers, and landlords. They can write off losses without limitation.</w:t>
      </w:r>
    </w:p>
    <w:p w:rsidR="00BE36CB" w:rsidRDefault="00BE36CB" w:rsidP="00BE36CB">
      <w:pPr>
        <w:spacing w:after="0"/>
        <w:jc w:val="both"/>
        <w:rPr>
          <w:rFonts w:ascii="Arial" w:hAnsi="Arial" w:cs="Arial"/>
          <w:sz w:val="24"/>
          <w:szCs w:val="24"/>
        </w:rPr>
      </w:pPr>
    </w:p>
    <w:p w:rsidR="00BE36CB" w:rsidRPr="00D135C8" w:rsidRDefault="00BE36CB" w:rsidP="00BE36CB">
      <w:pPr>
        <w:spacing w:after="0"/>
        <w:jc w:val="both"/>
        <w:rPr>
          <w:rFonts w:ascii="Arial" w:hAnsi="Arial" w:cs="Arial"/>
          <w:sz w:val="24"/>
          <w:szCs w:val="24"/>
        </w:rPr>
      </w:pPr>
      <w:r>
        <w:rPr>
          <w:rFonts w:ascii="Arial" w:hAnsi="Arial" w:cs="Arial"/>
          <w:b/>
          <w:sz w:val="24"/>
          <w:szCs w:val="24"/>
        </w:rPr>
        <w:t xml:space="preserve">The IRS is actively scrutinizing rental real estate losses, especially those written off by taxpayers claiming to be real estate professionals.  </w:t>
      </w:r>
      <w:r>
        <w:rPr>
          <w:rFonts w:ascii="Arial" w:hAnsi="Arial" w:cs="Arial"/>
          <w:sz w:val="24"/>
          <w:szCs w:val="24"/>
        </w:rPr>
        <w:t xml:space="preserve">For the past several years, the IRS has pulled returns of individuals who claim they  are real estate professionals  and whose W-2 forms or other non-real estate businesses show lots of income. Agents are checking to see whether these filers worked the necessary hours, especially in cases of landlords whose day jobs are not in the real estate business. </w:t>
      </w:r>
    </w:p>
    <w:p w:rsidR="00BE36CB" w:rsidRDefault="00BE36CB" w:rsidP="00BE36CB">
      <w:pPr>
        <w:spacing w:after="0"/>
        <w:jc w:val="both"/>
        <w:rPr>
          <w:rFonts w:ascii="Arial" w:hAnsi="Arial" w:cs="Arial"/>
          <w:b/>
          <w:sz w:val="24"/>
          <w:szCs w:val="24"/>
        </w:rPr>
      </w:pPr>
    </w:p>
    <w:p w:rsidR="00BE36CB" w:rsidRDefault="00BE36CB" w:rsidP="00BE36CB">
      <w:pPr>
        <w:spacing w:after="0"/>
        <w:jc w:val="both"/>
        <w:rPr>
          <w:rFonts w:ascii="Arial" w:hAnsi="Arial" w:cs="Arial"/>
          <w:sz w:val="24"/>
          <w:szCs w:val="24"/>
        </w:rPr>
      </w:pPr>
      <w:r>
        <w:rPr>
          <w:rFonts w:ascii="Arial" w:hAnsi="Arial" w:cs="Arial"/>
          <w:b/>
          <w:sz w:val="24"/>
          <w:szCs w:val="24"/>
        </w:rPr>
        <w:t>Deductions for Business Meals, Travel and Entertainment</w:t>
      </w:r>
      <w:r>
        <w:rPr>
          <w:rFonts w:ascii="Arial" w:hAnsi="Arial" w:cs="Arial"/>
          <w:sz w:val="24"/>
          <w:szCs w:val="24"/>
        </w:rPr>
        <w:t xml:space="preserve"> are always ripe for audit. To qualify for meal or entertainment deductions, you must keep detailed records that document each expense dollar amount, the venue, the people attending, the business purpose and the nature of the discussion or meeting.</w:t>
      </w:r>
    </w:p>
    <w:p w:rsidR="00BE36CB" w:rsidRDefault="00BE36CB" w:rsidP="00BE36CB">
      <w:pPr>
        <w:spacing w:after="0"/>
        <w:jc w:val="both"/>
        <w:rPr>
          <w:rFonts w:ascii="Arial" w:hAnsi="Arial" w:cs="Arial"/>
          <w:sz w:val="24"/>
          <w:szCs w:val="24"/>
        </w:rPr>
      </w:pPr>
    </w:p>
    <w:p w:rsidR="00BE36CB" w:rsidRDefault="00BE36CB" w:rsidP="00BE36CB">
      <w:pPr>
        <w:spacing w:after="0"/>
        <w:jc w:val="both"/>
        <w:rPr>
          <w:rFonts w:ascii="Arial" w:hAnsi="Arial" w:cs="Arial"/>
          <w:sz w:val="24"/>
          <w:szCs w:val="24"/>
        </w:rPr>
      </w:pPr>
      <w:r>
        <w:rPr>
          <w:rFonts w:ascii="Arial" w:hAnsi="Arial" w:cs="Arial"/>
          <w:b/>
          <w:sz w:val="24"/>
          <w:szCs w:val="24"/>
        </w:rPr>
        <w:t>Claiming 100% Business Use of a Vehicle:</w:t>
      </w:r>
      <w:r>
        <w:rPr>
          <w:rFonts w:ascii="Arial" w:hAnsi="Arial" w:cs="Arial"/>
          <w:sz w:val="24"/>
          <w:szCs w:val="24"/>
        </w:rPr>
        <w:t xml:space="preserve"> </w:t>
      </w:r>
    </w:p>
    <w:p w:rsidR="00BE36CB" w:rsidRPr="00AF6DD2" w:rsidRDefault="00BE36CB" w:rsidP="00BE36CB">
      <w:pPr>
        <w:spacing w:after="0"/>
        <w:jc w:val="both"/>
        <w:rPr>
          <w:rFonts w:ascii="Arial" w:hAnsi="Arial" w:cs="Arial"/>
          <w:sz w:val="24"/>
          <w:szCs w:val="24"/>
        </w:rPr>
      </w:pPr>
      <w:r>
        <w:rPr>
          <w:rFonts w:ascii="Arial" w:hAnsi="Arial" w:cs="Arial"/>
          <w:sz w:val="24"/>
          <w:szCs w:val="24"/>
        </w:rPr>
        <w:t>If you depreciate a car, you must list on Form 4562 what percentage of its use during the year was for business. Claiming 100% business use of non-commercial vehicles raise a red flag. Make sure to keep detailed mileage logs and precise calendar entries documenting the purpose of every road trip. And remember if you use the IRS’ standard mileage rate, you can’t also claim actual expenses for fuel, maintenance, insurance or other out-of-pocket expenses.</w:t>
      </w:r>
    </w:p>
    <w:p w:rsidR="00BE36CB" w:rsidRDefault="00BE36CB" w:rsidP="00BE36CB">
      <w:pPr>
        <w:spacing w:after="0"/>
        <w:jc w:val="center"/>
        <w:rPr>
          <w:rFonts w:ascii="Arial" w:hAnsi="Arial" w:cs="Arial"/>
          <w:sz w:val="24"/>
          <w:szCs w:val="24"/>
        </w:rPr>
      </w:pPr>
    </w:p>
    <w:p w:rsidR="00BE36CB" w:rsidRDefault="00BE36CB" w:rsidP="00BE36CB">
      <w:pPr>
        <w:spacing w:after="0"/>
        <w:jc w:val="both"/>
        <w:rPr>
          <w:rFonts w:ascii="Arial" w:hAnsi="Arial" w:cs="Arial"/>
          <w:sz w:val="24"/>
          <w:szCs w:val="24"/>
        </w:rPr>
      </w:pPr>
      <w:r>
        <w:rPr>
          <w:rFonts w:ascii="Arial" w:hAnsi="Arial" w:cs="Arial"/>
          <w:b/>
          <w:sz w:val="24"/>
          <w:szCs w:val="24"/>
        </w:rPr>
        <w:t xml:space="preserve">Deducting Losses for Hobby Activities: </w:t>
      </w:r>
    </w:p>
    <w:p w:rsidR="00BE36CB" w:rsidRDefault="00BE36CB" w:rsidP="00BE36CB">
      <w:pPr>
        <w:spacing w:after="0"/>
        <w:jc w:val="both"/>
        <w:rPr>
          <w:rFonts w:ascii="Arial" w:hAnsi="Arial" w:cs="Arial"/>
          <w:sz w:val="24"/>
          <w:szCs w:val="24"/>
        </w:rPr>
      </w:pPr>
      <w:r>
        <w:rPr>
          <w:rFonts w:ascii="Arial" w:hAnsi="Arial" w:cs="Arial"/>
          <w:sz w:val="24"/>
          <w:szCs w:val="24"/>
        </w:rPr>
        <w:t>You are required to report any income earned from a hobby, but cannot deduct a net loss from the activity. To claim a loss, the activity must be entered into and conducted as a business with the reasonable expectation of making a profit.</w:t>
      </w:r>
    </w:p>
    <w:p w:rsidR="00BE36CB" w:rsidRDefault="00BE36CB" w:rsidP="00BE36CB">
      <w:pPr>
        <w:spacing w:after="0"/>
        <w:jc w:val="both"/>
        <w:rPr>
          <w:rFonts w:ascii="Arial" w:hAnsi="Arial" w:cs="Arial"/>
          <w:sz w:val="24"/>
          <w:szCs w:val="24"/>
        </w:rPr>
      </w:pPr>
      <w:r>
        <w:rPr>
          <w:rFonts w:ascii="Arial" w:hAnsi="Arial" w:cs="Arial"/>
          <w:sz w:val="24"/>
          <w:szCs w:val="24"/>
        </w:rPr>
        <w:t xml:space="preserve">If your activity generates profit 3 out of every 5 years (or 2 out of 7 years for horse breeding), it is presumed to be a business, unless IRS finds </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otherwise. Make sure you run the activity following all business protocol and maintain supporting documentation for all expenses.</w:t>
      </w:r>
    </w:p>
    <w:p w:rsidR="007B6958" w:rsidRPr="00FF2FC4" w:rsidRDefault="007B6958" w:rsidP="007B6958">
      <w:pPr>
        <w:spacing w:after="0"/>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b/>
          <w:sz w:val="24"/>
          <w:szCs w:val="24"/>
        </w:rPr>
        <w:t>Running a Cash Business:</w:t>
      </w:r>
    </w:p>
    <w:p w:rsidR="007B6958" w:rsidRDefault="007B6958" w:rsidP="007B6958">
      <w:pPr>
        <w:spacing w:after="0"/>
        <w:jc w:val="both"/>
        <w:rPr>
          <w:rFonts w:ascii="Arial" w:hAnsi="Arial" w:cs="Arial"/>
          <w:sz w:val="24"/>
          <w:szCs w:val="24"/>
        </w:rPr>
      </w:pPr>
      <w:r>
        <w:rPr>
          <w:rFonts w:ascii="Arial" w:hAnsi="Arial" w:cs="Arial"/>
          <w:sz w:val="24"/>
          <w:szCs w:val="24"/>
        </w:rPr>
        <w:t>IRS statistics show that those who receive primarily cash are less likely to accurately report all their income. Thus IRS agents are specially trained in targeting and interviewing small business owners in cash-intensive activities such as taxis, car washes, hair and nail salons, bars and restaurants.</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b/>
          <w:sz w:val="24"/>
          <w:szCs w:val="24"/>
        </w:rPr>
        <w:t xml:space="preserve">Failing to Report a Foreign Bank Account: </w:t>
      </w:r>
    </w:p>
    <w:p w:rsidR="007B6958" w:rsidRPr="00AD0ED4" w:rsidRDefault="007B6958" w:rsidP="007B6958">
      <w:pPr>
        <w:spacing w:after="0"/>
        <w:jc w:val="both"/>
        <w:rPr>
          <w:rFonts w:ascii="Arial" w:hAnsi="Arial" w:cs="Arial"/>
          <w:sz w:val="24"/>
          <w:szCs w:val="24"/>
        </w:rPr>
      </w:pPr>
      <w:r>
        <w:rPr>
          <w:rFonts w:ascii="Arial" w:hAnsi="Arial" w:cs="Arial"/>
          <w:sz w:val="24"/>
          <w:szCs w:val="24"/>
        </w:rPr>
        <w:t>The IRS is intensely interested in people with money stashed outside the U.S., especially in tax havens, and tax authorities have had success getting foreign banks to disclose account information. The IRS has also used voluntary compliance programs to encourage folks with undisclosed foreign accounts to come clean – in exchange for reduced penalties. The IRS has learned a lot from these amnesty programs and has been collecting billions of dollars for their efforts! Failure to report a foreign bank account can lead to severe financial and/or criminal penalties. You must electronically file FinCEN Form 114 by June 30 to report foreign accounts that total more than $10,000 at any time during the previous year. Additional separate forms and disclosures may be required, depending on whether you own other foreign assets or an offshore business interest.</w:t>
      </w:r>
    </w:p>
    <w:p w:rsidR="007B6958" w:rsidRDefault="007B6958" w:rsidP="007B6958">
      <w:pPr>
        <w:spacing w:after="0"/>
        <w:jc w:val="center"/>
        <w:rPr>
          <w:rFonts w:ascii="Arial" w:hAnsi="Arial" w:cs="Arial"/>
          <w:sz w:val="24"/>
          <w:szCs w:val="24"/>
        </w:rPr>
      </w:pPr>
    </w:p>
    <w:p w:rsidR="007B6958" w:rsidRDefault="007B6958" w:rsidP="007B6958">
      <w:pPr>
        <w:spacing w:after="0"/>
        <w:jc w:val="both"/>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01769C42" wp14:editId="3E55336B">
                <wp:simplePos x="0" y="0"/>
                <wp:positionH relativeFrom="column">
                  <wp:posOffset>-38100</wp:posOffset>
                </wp:positionH>
                <wp:positionV relativeFrom="paragraph">
                  <wp:posOffset>19685</wp:posOffset>
                </wp:positionV>
                <wp:extent cx="3381375" cy="723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381375" cy="7239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958" w:rsidRPr="0059689C" w:rsidRDefault="007B6958" w:rsidP="007B6958">
                            <w:pPr>
                              <w:spacing w:after="0"/>
                              <w:jc w:val="both"/>
                              <w:rPr>
                                <w:rFonts w:ascii="Arial" w:hAnsi="Arial" w:cs="Arial"/>
                                <w:i/>
                                <w:sz w:val="6"/>
                                <w:szCs w:val="6"/>
                              </w:rPr>
                            </w:pPr>
                          </w:p>
                          <w:p w:rsidR="007B6958" w:rsidRPr="008F2255" w:rsidRDefault="007B6958" w:rsidP="007B6958">
                            <w:pPr>
                              <w:spacing w:after="0"/>
                              <w:jc w:val="both"/>
                              <w:rPr>
                                <w:rFonts w:ascii="Arial" w:hAnsi="Arial" w:cs="Arial"/>
                                <w:i/>
                                <w:sz w:val="20"/>
                                <w:szCs w:val="20"/>
                              </w:rPr>
                            </w:pPr>
                            <w:r>
                              <w:rPr>
                                <w:rFonts w:ascii="Arial" w:hAnsi="Arial" w:cs="Arial"/>
                                <w:i/>
                              </w:rPr>
                              <w:t>“</w:t>
                            </w:r>
                            <w:r w:rsidRPr="008F2255">
                              <w:rPr>
                                <w:rFonts w:ascii="Arial" w:hAnsi="Arial" w:cs="Arial"/>
                                <w:i/>
                                <w:sz w:val="20"/>
                                <w:szCs w:val="20"/>
                              </w:rPr>
                              <w:t>All taxes discourage something. Why not discourage bad things like pollution rather than good things like working or investment?” – Lawrence Summers</w:t>
                            </w:r>
                          </w:p>
                          <w:p w:rsidR="007B6958" w:rsidRDefault="007B6958" w:rsidP="007B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69C42" id="Text Box 9" o:spid="_x0000_s1027" type="#_x0000_t202" style="position:absolute;left:0;text-align:left;margin-left:-3pt;margin-top:1.55pt;width:266.25pt;height: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" fillcolor="white [3201]" strokeweight="1.25pt">
                <v:textbox>
                  <w:txbxContent>
                    <w:p w:rsidR="007B6958" w:rsidRPr="0059689C" w:rsidRDefault="007B6958" w:rsidP="007B6958">
                      <w:pPr>
                        <w:spacing w:after="0"/>
                        <w:jc w:val="both"/>
                        <w:rPr>
                          <w:rFonts w:ascii="Arial" w:hAnsi="Arial" w:cs="Arial"/>
                          <w:i/>
                          <w:sz w:val="6"/>
                          <w:szCs w:val="6"/>
                        </w:rPr>
                      </w:pPr>
                    </w:p>
                    <w:p w:rsidR="007B6958" w:rsidRPr="008F2255" w:rsidRDefault="007B6958" w:rsidP="007B6958">
                      <w:pPr>
                        <w:spacing w:after="0"/>
                        <w:jc w:val="both"/>
                        <w:rPr>
                          <w:rFonts w:ascii="Arial" w:hAnsi="Arial" w:cs="Arial"/>
                          <w:i/>
                          <w:sz w:val="20"/>
                          <w:szCs w:val="20"/>
                        </w:rPr>
                      </w:pPr>
                      <w:r>
                        <w:rPr>
                          <w:rFonts w:ascii="Arial" w:hAnsi="Arial" w:cs="Arial"/>
                          <w:i/>
                        </w:rPr>
                        <w:t>“</w:t>
                      </w:r>
                      <w:r w:rsidRPr="008F2255">
                        <w:rPr>
                          <w:rFonts w:ascii="Arial" w:hAnsi="Arial" w:cs="Arial"/>
                          <w:i/>
                          <w:sz w:val="20"/>
                          <w:szCs w:val="20"/>
                        </w:rPr>
                        <w:t>All taxes discourage something. Why not discourage bad things like pollution rather than good things like working or investment?” – Lawrence Summers</w:t>
                      </w:r>
                    </w:p>
                    <w:p w:rsidR="007B6958" w:rsidRDefault="007B6958" w:rsidP="007B6958"/>
                  </w:txbxContent>
                </v:textbox>
              </v:shape>
            </w:pict>
          </mc:Fallback>
        </mc:AlternateContent>
      </w:r>
    </w:p>
    <w:p w:rsidR="007B6958" w:rsidRDefault="007B6958" w:rsidP="007B6958">
      <w:pPr>
        <w:spacing w:after="0"/>
        <w:jc w:val="center"/>
        <w:rPr>
          <w:rFonts w:ascii="Arial" w:hAnsi="Arial" w:cs="Arial"/>
          <w:sz w:val="24"/>
          <w:szCs w:val="24"/>
        </w:rPr>
      </w:pPr>
    </w:p>
    <w:p w:rsidR="007B6958" w:rsidRDefault="007B6958" w:rsidP="007B6958">
      <w:pPr>
        <w:spacing w:after="0"/>
        <w:jc w:val="center"/>
        <w:rPr>
          <w:rFonts w:ascii="Arial" w:hAnsi="Arial" w:cs="Arial"/>
          <w:sz w:val="24"/>
          <w:szCs w:val="24"/>
        </w:rPr>
      </w:pPr>
    </w:p>
    <w:p w:rsidR="007B6958" w:rsidRDefault="007B6958" w:rsidP="007B6958">
      <w:pPr>
        <w:spacing w:after="0"/>
        <w:jc w:val="center"/>
        <w:rPr>
          <w:rFonts w:ascii="Arial" w:hAnsi="Arial" w:cs="Arial"/>
          <w:sz w:val="24"/>
          <w:szCs w:val="24"/>
        </w:rPr>
      </w:pPr>
    </w:p>
    <w:p w:rsidR="007B6958" w:rsidRDefault="007B6958" w:rsidP="007B6958">
      <w:pPr>
        <w:spacing w:after="0"/>
        <w:jc w:val="center"/>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b/>
          <w:sz w:val="32"/>
          <w:szCs w:val="32"/>
        </w:rPr>
        <w:t>The New Rules of Estate Planning</w:t>
      </w:r>
      <w:r>
        <w:rPr>
          <w:rFonts w:ascii="Arial" w:hAnsi="Arial" w:cs="Arial"/>
          <w:sz w:val="24"/>
          <w:szCs w:val="24"/>
        </w:rPr>
        <w:t xml:space="preserve"> are summarized in an October 24</w:t>
      </w:r>
      <w:r w:rsidRPr="0077161B">
        <w:rPr>
          <w:rFonts w:ascii="Arial" w:hAnsi="Arial" w:cs="Arial"/>
          <w:sz w:val="24"/>
          <w:szCs w:val="24"/>
          <w:vertAlign w:val="superscript"/>
        </w:rPr>
        <w:t>th</w:t>
      </w:r>
      <w:r>
        <w:rPr>
          <w:rFonts w:ascii="Arial" w:hAnsi="Arial" w:cs="Arial"/>
          <w:sz w:val="24"/>
          <w:szCs w:val="24"/>
        </w:rPr>
        <w:t xml:space="preserve"> Wall Street </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p>
    <w:p w:rsidR="007B6958" w:rsidRPr="0077161B" w:rsidRDefault="007B6958" w:rsidP="007B6958">
      <w:pPr>
        <w:spacing w:after="0"/>
        <w:jc w:val="both"/>
        <w:rPr>
          <w:rFonts w:ascii="Arial" w:hAnsi="Arial" w:cs="Arial"/>
          <w:sz w:val="24"/>
          <w:szCs w:val="24"/>
        </w:rPr>
      </w:pPr>
      <w:r>
        <w:rPr>
          <w:rFonts w:ascii="Arial" w:hAnsi="Arial" w:cs="Arial"/>
          <w:sz w:val="24"/>
          <w:szCs w:val="24"/>
        </w:rPr>
        <w:t>Journal article by Laura Saunders: “The federal estate tax is no longer the biggest concern for most affluent people who want to avoid taxes on wealth they leave to heirs.”</w:t>
      </w:r>
    </w:p>
    <w:p w:rsidR="007B6958" w:rsidRDefault="007B6958" w:rsidP="007B6958">
      <w:pPr>
        <w:spacing w:after="0"/>
        <w:jc w:val="center"/>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In 2013 Congress reset the top estate-and-gift tax rate at 40% and raised the exemption to $5 million per person with annual inflation adjustments. For year 2015 the estate and gift tax exemption is $5,430,000; while the annual gift tax exclusion remains at $14,000 per donee.</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The new rules present tax-saving opportunities that many people planning estates remain unaware of – and that could contradict past advice. “The conventional wisdom has been turned on its head because of changes in both the income tax and the estate tax,” says Suzanne Shier, chief tax strategist at Northern Trust in Chicago.</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In the past, for example, avoiding onerous estate tax rates entailed a trade-off of minimizing long-term capital gains taxes which had a much lower 15% rate. But now many people who have estate values below the current $5.43 million exemption can glean substantial tax savings on capital gains by holding assets until death. This holding strategy is becoming more advantageous as the top federal capital gains rate increased last year to 23.8% - and there is some chatter about raising it to 28% plus any state capital gains could be added on top.</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We recommend that estate plans are reviewed for those with values falling below the federal estate tax exemption.</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b/>
          <w:sz w:val="24"/>
          <w:szCs w:val="24"/>
        </w:rPr>
        <w:t>Reset Capital Gains</w:t>
      </w:r>
    </w:p>
    <w:p w:rsidR="007B6958" w:rsidRDefault="007B6958" w:rsidP="007B6958">
      <w:pPr>
        <w:spacing w:after="0"/>
        <w:jc w:val="both"/>
        <w:rPr>
          <w:rFonts w:ascii="Arial" w:hAnsi="Arial" w:cs="Arial"/>
          <w:sz w:val="24"/>
          <w:szCs w:val="24"/>
        </w:rPr>
      </w:pPr>
      <w:r>
        <w:rPr>
          <w:rFonts w:ascii="Arial" w:hAnsi="Arial" w:cs="Arial"/>
          <w:sz w:val="24"/>
          <w:szCs w:val="24"/>
        </w:rPr>
        <w:t xml:space="preserve">The federal code has long had a provision, known as the “step-up,” that cancels the long-term capital gains tax on assets that a taxpayer </w:t>
      </w:r>
    </w:p>
    <w:p w:rsidR="00A97A4F" w:rsidRDefault="00A97A4F" w:rsidP="00E431BB">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holds until death. The step-up automatically raises the owner’s cost basis for such assets – the starting point for measuring a taxable gain – to its full market value as of the date of death.</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This new focus on the “step-up” may prompt reversing courses in many estate plans.</w:t>
      </w:r>
    </w:p>
    <w:p w:rsidR="007B6958" w:rsidRDefault="007B6958" w:rsidP="007B6958">
      <w:pPr>
        <w:spacing w:after="0"/>
        <w:jc w:val="both"/>
        <w:rPr>
          <w:rFonts w:ascii="Arial" w:hAnsi="Arial" w:cs="Arial"/>
          <w:sz w:val="24"/>
          <w:szCs w:val="24"/>
        </w:rPr>
      </w:pPr>
    </w:p>
    <w:p w:rsidR="007B6958" w:rsidRPr="00017088" w:rsidRDefault="007B6958" w:rsidP="007B6958">
      <w:pPr>
        <w:spacing w:after="0"/>
        <w:jc w:val="both"/>
        <w:rPr>
          <w:rFonts w:ascii="Arial" w:hAnsi="Arial" w:cs="Arial"/>
          <w:sz w:val="24"/>
          <w:szCs w:val="24"/>
        </w:rPr>
      </w:pPr>
      <w:r>
        <w:rPr>
          <w:rFonts w:ascii="Arial" w:hAnsi="Arial" w:cs="Arial"/>
          <w:sz w:val="24"/>
          <w:szCs w:val="24"/>
        </w:rPr>
        <w:t>For example, say an investor bought a piece of land or stock shares many years ago for $20,000, and the value has grown to $200,000. If the investor sells the asset before his death, he will owe capital-gains tax on the $180,000 profit, at a rate as high as 23.8% (the top 20% capital gains rate, plus a surtax of 3.8%).</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If the investor holds the same asset until death, however, the capital-gains tax vanishes. The asset will be included in the owner’s estate at full market value, sheltered by an estate-tax exemption currently set at $5.34 million (reduced by his previous taxable gifts, if applicable).</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 xml:space="preserve">This move is especially important in high-tax states such as California, where the top combined federal and state capital-gains rate exceed 35%. </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b/>
          <w:sz w:val="24"/>
          <w:szCs w:val="24"/>
        </w:rPr>
      </w:pPr>
      <w:r>
        <w:rPr>
          <w:rFonts w:ascii="Arial" w:hAnsi="Arial" w:cs="Arial"/>
          <w:b/>
          <w:sz w:val="24"/>
          <w:szCs w:val="24"/>
        </w:rPr>
        <w:t>Tap the Right Assets</w:t>
      </w:r>
    </w:p>
    <w:p w:rsidR="007B6958" w:rsidRDefault="007B6958" w:rsidP="007B6958">
      <w:pPr>
        <w:spacing w:after="0"/>
        <w:jc w:val="both"/>
        <w:rPr>
          <w:rFonts w:ascii="Arial" w:hAnsi="Arial" w:cs="Arial"/>
          <w:sz w:val="24"/>
          <w:szCs w:val="24"/>
        </w:rPr>
      </w:pPr>
      <w:r>
        <w:rPr>
          <w:rFonts w:ascii="Arial" w:hAnsi="Arial" w:cs="Arial"/>
          <w:sz w:val="24"/>
          <w:szCs w:val="24"/>
        </w:rPr>
        <w:t>To meet cash needs, it may even make sense to take out a loan rather than selling appreciated investments in taxable accounts, especially with current interest rates so low.</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Another consideration is to make withdrawals from traditional retirement accounts. Because of the tax-deferred nature of the accounts, they won’t receive a step-up in basis at death, although they do trigger ordinary income tax rates, which are higher than capital-gains rates.</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b/>
          <w:sz w:val="24"/>
          <w:szCs w:val="24"/>
        </w:rPr>
      </w:pPr>
      <w:r>
        <w:rPr>
          <w:rFonts w:ascii="Arial" w:hAnsi="Arial" w:cs="Arial"/>
          <w:b/>
          <w:sz w:val="24"/>
          <w:szCs w:val="24"/>
        </w:rPr>
        <w:t>Revisit Your Trusts</w:t>
      </w:r>
    </w:p>
    <w:p w:rsidR="007B6958" w:rsidRDefault="007B6958" w:rsidP="007B6958">
      <w:pPr>
        <w:spacing w:after="0"/>
        <w:jc w:val="both"/>
        <w:rPr>
          <w:rFonts w:ascii="Arial" w:hAnsi="Arial" w:cs="Arial"/>
          <w:sz w:val="24"/>
          <w:szCs w:val="24"/>
        </w:rPr>
      </w:pPr>
      <w:r>
        <w:rPr>
          <w:rFonts w:ascii="Arial" w:hAnsi="Arial" w:cs="Arial"/>
          <w:sz w:val="24"/>
          <w:szCs w:val="24"/>
        </w:rPr>
        <w:t>While there remain non-tax reasons for having a trust (if one spouse is a non-U.S. citizen, or to direct complex distributions of assets, and privacy are key reasons), the new provision known as “portability” may replace the need for those trusts established solely for the purpose of utilizing estate-tax exemptions of both spouses.</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Now a surviving spouse can claim the unused portion of a deceased spouse’s exemption. Thus if spouse #1 dies and leaves $1 million to the children, the surviving spouse can utilize the remaining $4.34 million exemption, adding to the survivor’s full exemption available at the 2</w:t>
      </w:r>
      <w:r w:rsidRPr="006518FE">
        <w:rPr>
          <w:rFonts w:ascii="Arial" w:hAnsi="Arial" w:cs="Arial"/>
          <w:sz w:val="24"/>
          <w:szCs w:val="24"/>
          <w:vertAlign w:val="superscript"/>
        </w:rPr>
        <w:t>nd</w:t>
      </w:r>
      <w:r>
        <w:rPr>
          <w:rFonts w:ascii="Arial" w:hAnsi="Arial" w:cs="Arial"/>
          <w:sz w:val="24"/>
          <w:szCs w:val="24"/>
        </w:rPr>
        <w:t xml:space="preserve"> death. [NOTE: the surviving spouse must file Form 706 with IRS within nine months of death in order to qualify the claim for </w:t>
      </w:r>
      <w:r w:rsidR="00F0633C">
        <w:rPr>
          <w:rFonts w:ascii="Arial" w:hAnsi="Arial" w:cs="Arial"/>
          <w:sz w:val="24"/>
          <w:szCs w:val="24"/>
        </w:rPr>
        <w:t>the decedent’s unused exemption]</w:t>
      </w:r>
      <w:r>
        <w:rPr>
          <w:rFonts w:ascii="Arial" w:hAnsi="Arial" w:cs="Arial"/>
          <w:sz w:val="24"/>
          <w:szCs w:val="24"/>
        </w:rPr>
        <w:t>.</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sz w:val="24"/>
          <w:szCs w:val="24"/>
        </w:rPr>
      </w:pPr>
      <w:r>
        <w:rPr>
          <w:rFonts w:ascii="Arial" w:hAnsi="Arial" w:cs="Arial"/>
          <w:sz w:val="24"/>
          <w:szCs w:val="24"/>
        </w:rPr>
        <w:t>In fact, many couples that had tax-savings trusts set up years ago may actually raise taxes for their heirs. For example, if a spouse leaves a $1.5 million estate to a trust under the terms of a 2005 will designed to protect the estate tax exemption amount in that year, then there will be no step-up on the subsequent growth of the assets. But if the decedent left the same assets directly to the spouse, future growth could escape capital-gains tax at the 2</w:t>
      </w:r>
      <w:r w:rsidRPr="00B42171">
        <w:rPr>
          <w:rFonts w:ascii="Arial" w:hAnsi="Arial" w:cs="Arial"/>
          <w:sz w:val="24"/>
          <w:szCs w:val="24"/>
          <w:vertAlign w:val="superscript"/>
        </w:rPr>
        <w:t>nd</w:t>
      </w:r>
      <w:r>
        <w:rPr>
          <w:rFonts w:ascii="Arial" w:hAnsi="Arial" w:cs="Arial"/>
          <w:sz w:val="24"/>
          <w:szCs w:val="24"/>
        </w:rPr>
        <w:t xml:space="preserve"> death.</w:t>
      </w:r>
    </w:p>
    <w:p w:rsidR="007B6958" w:rsidRDefault="007B6958" w:rsidP="007B6958">
      <w:pPr>
        <w:spacing w:after="0"/>
        <w:jc w:val="both"/>
        <w:rPr>
          <w:rFonts w:ascii="Arial" w:hAnsi="Arial" w:cs="Arial"/>
          <w:sz w:val="24"/>
          <w:szCs w:val="24"/>
        </w:rPr>
      </w:pPr>
    </w:p>
    <w:p w:rsidR="007B6958" w:rsidRDefault="007B6958" w:rsidP="007B6958">
      <w:pPr>
        <w:spacing w:after="0"/>
        <w:jc w:val="both"/>
        <w:rPr>
          <w:rFonts w:ascii="Arial" w:hAnsi="Arial" w:cs="Arial"/>
          <w:b/>
          <w:sz w:val="24"/>
          <w:szCs w:val="24"/>
        </w:rPr>
      </w:pPr>
      <w:r>
        <w:rPr>
          <w:rFonts w:ascii="Arial" w:hAnsi="Arial" w:cs="Arial"/>
          <w:b/>
          <w:sz w:val="24"/>
          <w:szCs w:val="24"/>
        </w:rPr>
        <w:t>Reconsider Gifting</w:t>
      </w:r>
    </w:p>
    <w:p w:rsidR="007B6958" w:rsidRDefault="007B6958" w:rsidP="007B6958">
      <w:pPr>
        <w:spacing w:after="0"/>
        <w:jc w:val="both"/>
        <w:rPr>
          <w:rFonts w:ascii="Arial" w:hAnsi="Arial" w:cs="Arial"/>
          <w:sz w:val="24"/>
          <w:szCs w:val="24"/>
        </w:rPr>
      </w:pPr>
      <w:r>
        <w:rPr>
          <w:rFonts w:ascii="Arial" w:hAnsi="Arial" w:cs="Arial"/>
          <w:sz w:val="24"/>
          <w:szCs w:val="24"/>
        </w:rPr>
        <w:t>For most couples’ estate planning, there’s almost no reason to make gifts anymore. Unless there’s an estate value exceeding their joint $10.68 million exemption (reduced by previous reportable gifts), it’s better to save heirs’ future capital-gains taxes.</w:t>
      </w:r>
    </w:p>
    <w:p w:rsidR="007B6958" w:rsidRDefault="007B6958" w:rsidP="007B6958">
      <w:pPr>
        <w:spacing w:after="0"/>
        <w:jc w:val="both"/>
        <w:rPr>
          <w:rFonts w:ascii="Arial" w:hAnsi="Arial" w:cs="Arial"/>
          <w:sz w:val="24"/>
          <w:szCs w:val="24"/>
        </w:rPr>
      </w:pPr>
    </w:p>
    <w:p w:rsidR="007B6958" w:rsidRPr="00624949" w:rsidRDefault="007B6958" w:rsidP="007B6958">
      <w:pPr>
        <w:spacing w:after="0"/>
        <w:jc w:val="both"/>
        <w:rPr>
          <w:rFonts w:ascii="Arial" w:hAnsi="Arial" w:cs="Arial"/>
          <w:sz w:val="24"/>
          <w:szCs w:val="24"/>
        </w:rPr>
      </w:pPr>
      <w:r>
        <w:rPr>
          <w:rFonts w:ascii="Arial" w:hAnsi="Arial" w:cs="Arial"/>
          <w:sz w:val="24"/>
          <w:szCs w:val="24"/>
        </w:rPr>
        <w:t>Lifetime gifts retain the donor’s cost basis, forfeiting any “stepped-up” basis to donees.</w:t>
      </w:r>
    </w:p>
    <w:p w:rsidR="007B6958" w:rsidRDefault="007B6958" w:rsidP="00E431BB">
      <w:pPr>
        <w:spacing w:after="0"/>
        <w:jc w:val="both"/>
        <w:rPr>
          <w:rFonts w:ascii="Arial" w:hAnsi="Arial" w:cs="Arial"/>
          <w:sz w:val="24"/>
          <w:szCs w:val="24"/>
        </w:rPr>
      </w:pPr>
    </w:p>
    <w:p w:rsidR="007B6958" w:rsidRDefault="007B6958" w:rsidP="00E431BB">
      <w:pPr>
        <w:spacing w:after="0"/>
        <w:jc w:val="both"/>
        <w:rPr>
          <w:rFonts w:ascii="Arial" w:hAnsi="Arial" w:cs="Arial"/>
          <w:sz w:val="24"/>
          <w:szCs w:val="24"/>
        </w:rPr>
      </w:pPr>
    </w:p>
    <w:p w:rsidR="002C0D81" w:rsidRDefault="002C0D81" w:rsidP="002C0D81">
      <w:pPr>
        <w:spacing w:after="0"/>
        <w:jc w:val="both"/>
        <w:rPr>
          <w:rFonts w:ascii="Arial" w:hAnsi="Arial" w:cs="Arial"/>
          <w:sz w:val="24"/>
          <w:szCs w:val="24"/>
        </w:rPr>
      </w:pPr>
      <w:r>
        <w:rPr>
          <w:rFonts w:ascii="Arial" w:hAnsi="Arial" w:cs="Arial"/>
          <w:b/>
          <w:sz w:val="24"/>
          <w:szCs w:val="24"/>
        </w:rPr>
        <w:t xml:space="preserve">Beware of State Taxes:  </w:t>
      </w:r>
      <w:r>
        <w:rPr>
          <w:rFonts w:ascii="Arial" w:hAnsi="Arial" w:cs="Arial"/>
          <w:sz w:val="24"/>
          <w:szCs w:val="24"/>
        </w:rPr>
        <w:t>(see chart below)</w:t>
      </w:r>
    </w:p>
    <w:p w:rsidR="002C0D81" w:rsidRDefault="002C0D81" w:rsidP="002C0D81">
      <w:pPr>
        <w:spacing w:after="0"/>
        <w:jc w:val="both"/>
        <w:rPr>
          <w:rFonts w:ascii="Arial" w:hAnsi="Arial" w:cs="Arial"/>
          <w:sz w:val="24"/>
          <w:szCs w:val="24"/>
        </w:rPr>
      </w:pPr>
      <w:r>
        <w:rPr>
          <w:rFonts w:ascii="Arial" w:hAnsi="Arial" w:cs="Arial"/>
          <w:noProof/>
          <w:sz w:val="24"/>
          <w:szCs w:val="24"/>
        </w:rPr>
        <w:drawing>
          <wp:inline distT="0" distB="0" distL="0" distR="0" wp14:anchorId="40CA38B1" wp14:editId="28EDAE67">
            <wp:extent cx="3294227" cy="49149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I467_27ESTA_16U_20141027143611.jpg"/>
                    <pic:cNvPicPr/>
                  </pic:nvPicPr>
                  <pic:blipFill rotWithShape="1">
                    <a:blip r:embed="rId14" cstate="print">
                      <a:extLst>
                        <a:ext uri="{28A0092B-C50C-407E-A947-70E740481C1C}">
                          <a14:useLocalDpi xmlns:a14="http://schemas.microsoft.com/office/drawing/2010/main" val="0"/>
                        </a:ext>
                      </a:extLst>
                    </a:blip>
                    <a:srcRect b="6522"/>
                    <a:stretch/>
                  </pic:blipFill>
                  <pic:spPr bwMode="auto">
                    <a:xfrm>
                      <a:off x="0" y="0"/>
                      <a:ext cx="3291840" cy="491133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br w:type="column"/>
      </w:r>
    </w:p>
    <w:p w:rsidR="002C0D81" w:rsidRDefault="002C0D81" w:rsidP="002C0D81">
      <w:pPr>
        <w:spacing w:after="0"/>
        <w:jc w:val="both"/>
        <w:rPr>
          <w:rFonts w:ascii="Arial" w:hAnsi="Arial" w:cs="Arial"/>
          <w:b/>
          <w:sz w:val="28"/>
          <w:szCs w:val="28"/>
        </w:rPr>
      </w:pPr>
      <w:r>
        <w:rPr>
          <w:rFonts w:ascii="Arial" w:hAnsi="Arial" w:cs="Arial"/>
          <w:b/>
          <w:sz w:val="28"/>
          <w:szCs w:val="28"/>
        </w:rPr>
        <w:t>Retirees need to plan for high healthcare costs</w:t>
      </w:r>
    </w:p>
    <w:p w:rsidR="002C0D81" w:rsidRPr="00ED6CE8" w:rsidRDefault="002C0D81" w:rsidP="002C0D81">
      <w:pPr>
        <w:spacing w:after="0"/>
        <w:jc w:val="both"/>
        <w:rPr>
          <w:rFonts w:ascii="Arial" w:hAnsi="Arial" w:cs="Arial"/>
          <w:sz w:val="24"/>
          <w:szCs w:val="24"/>
          <w:u w:val="single"/>
        </w:rPr>
      </w:pPr>
      <w:r>
        <w:rPr>
          <w:rFonts w:ascii="Arial" w:hAnsi="Arial" w:cs="Arial"/>
          <w:sz w:val="24"/>
          <w:szCs w:val="24"/>
        </w:rPr>
        <w:t xml:space="preserve">According to Fidelity Investments, the average 65-year old couple will spend about $400,000 out-of-pocket throughout retirement until age 92, </w:t>
      </w:r>
      <w:r>
        <w:rPr>
          <w:rFonts w:ascii="Arial" w:hAnsi="Arial" w:cs="Arial"/>
          <w:sz w:val="24"/>
          <w:szCs w:val="24"/>
          <w:u w:val="single"/>
        </w:rPr>
        <w:t>not</w:t>
      </w:r>
      <w:r w:rsidRPr="00ED6CE8">
        <w:rPr>
          <w:rFonts w:ascii="Arial" w:hAnsi="Arial" w:cs="Arial"/>
          <w:sz w:val="24"/>
          <w:szCs w:val="24"/>
        </w:rPr>
        <w:t xml:space="preserve"> </w:t>
      </w:r>
      <w:r>
        <w:rPr>
          <w:rFonts w:ascii="Arial" w:hAnsi="Arial" w:cs="Arial"/>
          <w:sz w:val="24"/>
          <w:szCs w:val="24"/>
          <w:u w:val="single"/>
        </w:rPr>
        <w:t>including long</w:t>
      </w:r>
      <w:r w:rsidRPr="00ED6CE8">
        <w:rPr>
          <w:rFonts w:ascii="Arial" w:hAnsi="Arial" w:cs="Arial"/>
          <w:sz w:val="24"/>
          <w:szCs w:val="24"/>
        </w:rPr>
        <w:t>-</w:t>
      </w:r>
      <w:r>
        <w:rPr>
          <w:rFonts w:ascii="Arial" w:hAnsi="Arial" w:cs="Arial"/>
          <w:sz w:val="24"/>
          <w:szCs w:val="24"/>
          <w:u w:val="single"/>
        </w:rPr>
        <w:t>term</w:t>
      </w:r>
      <w:r w:rsidRPr="00ED6CE8">
        <w:rPr>
          <w:rFonts w:ascii="Arial" w:hAnsi="Arial" w:cs="Arial"/>
          <w:sz w:val="24"/>
          <w:szCs w:val="24"/>
        </w:rPr>
        <w:t xml:space="preserve"> </w:t>
      </w:r>
      <w:r>
        <w:rPr>
          <w:rFonts w:ascii="Arial" w:hAnsi="Arial" w:cs="Arial"/>
          <w:sz w:val="24"/>
          <w:szCs w:val="24"/>
          <w:u w:val="single"/>
        </w:rPr>
        <w:t>care</w:t>
      </w:r>
      <w:r w:rsidRPr="00ED6CE8">
        <w:rPr>
          <w:rFonts w:ascii="Arial" w:hAnsi="Arial" w:cs="Arial"/>
          <w:sz w:val="24"/>
          <w:szCs w:val="24"/>
        </w:rPr>
        <w:t xml:space="preserve"> </w:t>
      </w:r>
      <w:r>
        <w:rPr>
          <w:rFonts w:ascii="Arial" w:hAnsi="Arial" w:cs="Arial"/>
          <w:sz w:val="24"/>
          <w:szCs w:val="24"/>
          <w:u w:val="single"/>
        </w:rPr>
        <w:t>costs!</w:t>
      </w:r>
    </w:p>
    <w:p w:rsidR="002C0D81" w:rsidRDefault="002C0D81" w:rsidP="002C0D81">
      <w:pPr>
        <w:spacing w:after="0"/>
        <w:jc w:val="both"/>
        <w:rPr>
          <w:rFonts w:ascii="Arial" w:hAnsi="Arial" w:cs="Arial"/>
          <w:b/>
          <w:sz w:val="24"/>
          <w:szCs w:val="24"/>
        </w:rPr>
      </w:pPr>
    </w:p>
    <w:p w:rsidR="002C0D81" w:rsidRPr="006372AB" w:rsidRDefault="002C0D81" w:rsidP="002C0D81">
      <w:pPr>
        <w:spacing w:after="0"/>
        <w:jc w:val="both"/>
        <w:rPr>
          <w:rFonts w:ascii="Arial" w:hAnsi="Arial" w:cs="Arial"/>
          <w:sz w:val="24"/>
          <w:szCs w:val="24"/>
        </w:rPr>
      </w:pPr>
      <w:r>
        <w:rPr>
          <w:rFonts w:ascii="Arial" w:hAnsi="Arial" w:cs="Arial"/>
          <w:sz w:val="24"/>
          <w:szCs w:val="24"/>
        </w:rPr>
        <w:t xml:space="preserve">If you’re new to Medicare, you may find it’s more costly than anticipated. While Part A of traditional Medicare </w:t>
      </w:r>
      <w:r w:rsidR="000E13F9">
        <w:rPr>
          <w:rFonts w:ascii="Arial" w:hAnsi="Arial" w:cs="Arial"/>
          <w:sz w:val="24"/>
          <w:szCs w:val="24"/>
        </w:rPr>
        <w:t>(</w:t>
      </w:r>
      <w:r>
        <w:rPr>
          <w:rFonts w:ascii="Arial" w:hAnsi="Arial" w:cs="Arial"/>
          <w:sz w:val="24"/>
          <w:szCs w:val="24"/>
        </w:rPr>
        <w:t>cover</w:t>
      </w:r>
      <w:r w:rsidR="000E13F9">
        <w:rPr>
          <w:rFonts w:ascii="Arial" w:hAnsi="Arial" w:cs="Arial"/>
          <w:sz w:val="24"/>
          <w:szCs w:val="24"/>
        </w:rPr>
        <w:t>ing hospital benefits)</w:t>
      </w:r>
      <w:r>
        <w:rPr>
          <w:rFonts w:ascii="Arial" w:hAnsi="Arial" w:cs="Arial"/>
          <w:sz w:val="24"/>
          <w:szCs w:val="24"/>
        </w:rPr>
        <w:t xml:space="preserve"> is free, you’ll pay </w:t>
      </w:r>
      <w:r w:rsidR="000E13F9">
        <w:rPr>
          <w:rFonts w:ascii="Arial" w:hAnsi="Arial" w:cs="Arial"/>
          <w:sz w:val="24"/>
          <w:szCs w:val="24"/>
        </w:rPr>
        <w:t>income-adjusted</w:t>
      </w:r>
      <w:r>
        <w:rPr>
          <w:rFonts w:ascii="Arial" w:hAnsi="Arial" w:cs="Arial"/>
          <w:sz w:val="24"/>
          <w:szCs w:val="24"/>
        </w:rPr>
        <w:t xml:space="preserve"> premium</w:t>
      </w:r>
      <w:r w:rsidR="000E13F9">
        <w:rPr>
          <w:rFonts w:ascii="Arial" w:hAnsi="Arial" w:cs="Arial"/>
          <w:sz w:val="24"/>
          <w:szCs w:val="24"/>
        </w:rPr>
        <w:t>s</w:t>
      </w:r>
      <w:r>
        <w:rPr>
          <w:rFonts w:ascii="Arial" w:hAnsi="Arial" w:cs="Arial"/>
          <w:sz w:val="24"/>
          <w:szCs w:val="24"/>
        </w:rPr>
        <w:t xml:space="preserve"> for Part B </w:t>
      </w:r>
      <w:r w:rsidR="000E13F9">
        <w:rPr>
          <w:rFonts w:ascii="Arial" w:hAnsi="Arial" w:cs="Arial"/>
          <w:sz w:val="24"/>
          <w:szCs w:val="24"/>
        </w:rPr>
        <w:t>(</w:t>
      </w:r>
      <w:r>
        <w:rPr>
          <w:rFonts w:ascii="Arial" w:hAnsi="Arial" w:cs="Arial"/>
          <w:sz w:val="24"/>
          <w:szCs w:val="24"/>
        </w:rPr>
        <w:t>cover</w:t>
      </w:r>
      <w:r w:rsidR="000E13F9">
        <w:rPr>
          <w:rFonts w:ascii="Arial" w:hAnsi="Arial" w:cs="Arial"/>
          <w:sz w:val="24"/>
          <w:szCs w:val="24"/>
        </w:rPr>
        <w:t xml:space="preserve">ing </w:t>
      </w:r>
      <w:r>
        <w:rPr>
          <w:rFonts w:ascii="Arial" w:hAnsi="Arial" w:cs="Arial"/>
          <w:sz w:val="24"/>
          <w:szCs w:val="24"/>
        </w:rPr>
        <w:t>outpatient services</w:t>
      </w:r>
      <w:r w:rsidR="000E13F9">
        <w:rPr>
          <w:rFonts w:ascii="Arial" w:hAnsi="Arial" w:cs="Arial"/>
          <w:sz w:val="24"/>
          <w:szCs w:val="24"/>
        </w:rPr>
        <w:t>)</w:t>
      </w:r>
      <w:r>
        <w:rPr>
          <w:rFonts w:ascii="Arial" w:hAnsi="Arial" w:cs="Arial"/>
          <w:sz w:val="24"/>
          <w:szCs w:val="24"/>
        </w:rPr>
        <w:t xml:space="preserve"> and for Part D to get prescription-drug coverage. You may also opt for a private Medigap policy to help cover the costs that Medicare doesn’t cover.</w:t>
      </w:r>
    </w:p>
    <w:p w:rsidR="002C0D81" w:rsidRDefault="002C0D81" w:rsidP="002C0D81">
      <w:pPr>
        <w:spacing w:after="0"/>
        <w:jc w:val="both"/>
        <w:rPr>
          <w:rFonts w:ascii="Arial" w:hAnsi="Arial" w:cs="Arial"/>
          <w:b/>
          <w:sz w:val="24"/>
          <w:szCs w:val="24"/>
        </w:rPr>
      </w:pPr>
    </w:p>
    <w:p w:rsidR="002C0D81" w:rsidRPr="00041F9A" w:rsidRDefault="002C0D81" w:rsidP="002C0D81">
      <w:pPr>
        <w:spacing w:after="0"/>
        <w:jc w:val="both"/>
        <w:rPr>
          <w:rFonts w:ascii="Arial" w:hAnsi="Arial" w:cs="Arial"/>
          <w:b/>
          <w:sz w:val="24"/>
          <w:szCs w:val="24"/>
        </w:rPr>
      </w:pPr>
      <w:r w:rsidRPr="00041F9A">
        <w:rPr>
          <w:rFonts w:ascii="Arial" w:hAnsi="Arial" w:cs="Arial"/>
          <w:b/>
          <w:sz w:val="24"/>
          <w:szCs w:val="24"/>
        </w:rPr>
        <w:t>Financial Security Tip of the Month:</w:t>
      </w:r>
    </w:p>
    <w:p w:rsidR="007B6958" w:rsidRDefault="002C0D81" w:rsidP="002C0D81">
      <w:pPr>
        <w:spacing w:after="0"/>
        <w:jc w:val="both"/>
        <w:rPr>
          <w:rFonts w:ascii="Arial" w:hAnsi="Arial" w:cs="Arial"/>
          <w:sz w:val="24"/>
          <w:szCs w:val="24"/>
        </w:rPr>
      </w:pPr>
      <w:r w:rsidRPr="00041F9A">
        <w:rPr>
          <w:rFonts w:ascii="Arial" w:hAnsi="Arial" w:cs="Arial"/>
          <w:sz w:val="24"/>
          <w:szCs w:val="24"/>
        </w:rPr>
        <w:t xml:space="preserve">If you are </w:t>
      </w:r>
      <w:r w:rsidR="002960DF">
        <w:rPr>
          <w:rFonts w:ascii="Arial" w:hAnsi="Arial" w:cs="Arial"/>
          <w:sz w:val="24"/>
          <w:szCs w:val="24"/>
        </w:rPr>
        <w:t>snapp</w:t>
      </w:r>
      <w:r w:rsidRPr="00041F9A">
        <w:rPr>
          <w:rFonts w:ascii="Arial" w:hAnsi="Arial" w:cs="Arial"/>
          <w:sz w:val="24"/>
          <w:szCs w:val="24"/>
        </w:rPr>
        <w:t xml:space="preserve">ing </w:t>
      </w:r>
      <w:r w:rsidR="002960DF">
        <w:rPr>
          <w:rFonts w:ascii="Arial" w:hAnsi="Arial" w:cs="Arial"/>
          <w:sz w:val="24"/>
          <w:szCs w:val="24"/>
        </w:rPr>
        <w:t>photos of checks for electronic</w:t>
      </w:r>
      <w:r w:rsidRPr="00041F9A">
        <w:rPr>
          <w:rFonts w:ascii="Arial" w:hAnsi="Arial" w:cs="Arial"/>
          <w:sz w:val="24"/>
          <w:szCs w:val="24"/>
        </w:rPr>
        <w:t xml:space="preserve"> deposits into your bank account and have to retain your canceled check for a period of time prescribed by the bank, be sure to endorse the back of the check with “For </w:t>
      </w:r>
      <w:r w:rsidRPr="00337F6D">
        <w:rPr>
          <w:rFonts w:ascii="Arial" w:hAnsi="Arial" w:cs="Arial"/>
          <w:sz w:val="24"/>
          <w:szCs w:val="24"/>
          <w:u w:val="single"/>
        </w:rPr>
        <w:t>mobile</w:t>
      </w:r>
      <w:r w:rsidRPr="00041F9A">
        <w:rPr>
          <w:rFonts w:ascii="Arial" w:hAnsi="Arial" w:cs="Arial"/>
          <w:sz w:val="24"/>
          <w:szCs w:val="24"/>
        </w:rPr>
        <w:t xml:space="preserve"> deposit only” to reduce chances of having the check negotiated at a bank before or after you’ve deposited it yourself</w:t>
      </w:r>
      <w:r>
        <w:rPr>
          <w:rFonts w:ascii="Arial" w:hAnsi="Arial" w:cs="Arial"/>
          <w:sz w:val="24"/>
          <w:szCs w:val="24"/>
        </w:rPr>
        <w:t>.</w:t>
      </w:r>
    </w:p>
    <w:p w:rsidR="002C0D81" w:rsidRDefault="002C0D81" w:rsidP="002C0D81">
      <w:pPr>
        <w:spacing w:after="0"/>
        <w:jc w:val="both"/>
        <w:rPr>
          <w:rFonts w:ascii="Arial" w:hAnsi="Arial" w:cs="Arial"/>
          <w:sz w:val="24"/>
          <w:szCs w:val="24"/>
        </w:rPr>
        <w:sectPr w:rsidR="002C0D81" w:rsidSect="00A97A4F">
          <w:type w:val="continuous"/>
          <w:pgSz w:w="12240" w:h="15840"/>
          <w:pgMar w:top="288" w:right="432" w:bottom="720" w:left="720" w:header="720" w:footer="720" w:gutter="0"/>
          <w:cols w:num="2" w:space="720"/>
          <w:docGrid w:linePitch="360"/>
        </w:sectPr>
      </w:pPr>
    </w:p>
    <w:p w:rsidR="008F6694" w:rsidRDefault="008F6694" w:rsidP="008F6694">
      <w:pPr>
        <w:spacing w:after="0"/>
        <w:rPr>
          <w:rFonts w:ascii="Arial" w:hAnsi="Arial" w:cs="Arial"/>
          <w:i/>
          <w:sz w:val="21"/>
          <w:szCs w:val="21"/>
        </w:rPr>
      </w:pPr>
      <w:r>
        <w:rPr>
          <w:rFonts w:ascii="Arial" w:hAnsi="Arial" w:cs="Arial"/>
          <w:i/>
          <w:sz w:val="21"/>
          <w:szCs w:val="21"/>
        </w:rPr>
        <w:t>______________________________________________________________________________________________</w:t>
      </w:r>
    </w:p>
    <w:p w:rsidR="008F6694" w:rsidRPr="008F6694" w:rsidRDefault="008F6694" w:rsidP="008F6694">
      <w:pPr>
        <w:spacing w:after="0"/>
        <w:rPr>
          <w:rFonts w:ascii="Arial" w:hAnsi="Arial" w:cs="Arial"/>
          <w:i/>
          <w:sz w:val="10"/>
          <w:szCs w:val="10"/>
        </w:rPr>
      </w:pPr>
    </w:p>
    <w:p w:rsidR="008F6694" w:rsidRDefault="008F6694" w:rsidP="008F6694">
      <w:pPr>
        <w:spacing w:after="0"/>
        <w:rPr>
          <w:rFonts w:ascii="Arial" w:hAnsi="Arial" w:cs="Arial"/>
          <w:i/>
          <w:sz w:val="21"/>
          <w:szCs w:val="21"/>
        </w:rPr>
      </w:pPr>
      <w:r w:rsidRPr="00616A6C">
        <w:rPr>
          <w:rFonts w:ascii="Arial" w:hAnsi="Arial" w:cs="Arial"/>
          <w:i/>
          <w:sz w:val="21"/>
          <w:szCs w:val="21"/>
        </w:rPr>
        <w:t xml:space="preserve">Sources: </w:t>
      </w:r>
      <w:r>
        <w:rPr>
          <w:rFonts w:ascii="Arial" w:hAnsi="Arial" w:cs="Arial"/>
          <w:i/>
          <w:sz w:val="21"/>
          <w:szCs w:val="21"/>
        </w:rPr>
        <w:t xml:space="preserve">Kiplinger’s Retirement Report, January 2015; </w:t>
      </w:r>
      <w:r>
        <w:rPr>
          <w:rFonts w:ascii="Arial" w:hAnsi="Arial" w:cs="Arial"/>
          <w:i/>
          <w:sz w:val="21"/>
          <w:szCs w:val="21"/>
          <w:vertAlign w:val="superscript"/>
        </w:rPr>
        <w:t>1</w:t>
      </w:r>
      <w:r>
        <w:rPr>
          <w:rFonts w:ascii="Arial" w:hAnsi="Arial" w:cs="Arial"/>
          <w:i/>
          <w:sz w:val="21"/>
          <w:szCs w:val="21"/>
        </w:rPr>
        <w:t>Kiplinger Tax Letter, November 2014, Fidelity Investments,</w:t>
      </w:r>
    </w:p>
    <w:p w:rsidR="008F6694" w:rsidRDefault="008F6694" w:rsidP="008F6694">
      <w:pPr>
        <w:spacing w:after="0"/>
        <w:rPr>
          <w:rFonts w:ascii="Arial" w:hAnsi="Arial" w:cs="Arial"/>
          <w:i/>
          <w:sz w:val="21"/>
          <w:szCs w:val="21"/>
        </w:rPr>
      </w:pPr>
      <w:r>
        <w:rPr>
          <w:rFonts w:ascii="Arial" w:hAnsi="Arial" w:cs="Arial"/>
          <w:i/>
          <w:sz w:val="21"/>
          <w:szCs w:val="21"/>
        </w:rPr>
        <w:tab/>
        <w:t xml:space="preserve">   Wall Street Journal, TheStreet.com</w:t>
      </w:r>
    </w:p>
    <w:p w:rsidR="00A97A4F" w:rsidRPr="00171AAF" w:rsidRDefault="00A97A4F" w:rsidP="00E431BB">
      <w:pPr>
        <w:spacing w:after="0"/>
        <w:jc w:val="both"/>
        <w:rPr>
          <w:rFonts w:ascii="Arial" w:hAnsi="Arial" w:cs="Arial"/>
          <w:sz w:val="16"/>
          <w:szCs w:val="16"/>
        </w:rPr>
        <w:sectPr w:rsidR="00A97A4F" w:rsidRPr="00171AAF" w:rsidSect="002C0D81">
          <w:type w:val="continuous"/>
          <w:pgSz w:w="12240" w:h="15840"/>
          <w:pgMar w:top="288" w:right="432" w:bottom="720" w:left="720" w:header="720" w:footer="720" w:gutter="0"/>
          <w:cols w:space="720"/>
          <w:docGrid w:linePitch="360"/>
        </w:sectPr>
      </w:pPr>
    </w:p>
    <w:p w:rsidR="00970753" w:rsidRPr="00625302" w:rsidRDefault="00171AAF" w:rsidP="00970753">
      <w:pPr>
        <w:spacing w:after="0"/>
        <w:jc w:val="center"/>
        <w:rPr>
          <w:rFonts w:ascii="Arial" w:hAnsi="Arial" w:cs="Arial"/>
          <w:b/>
          <w:sz w:val="16"/>
          <w:szCs w:val="16"/>
        </w:rPr>
      </w:pPr>
      <w:r>
        <w:rPr>
          <w:rFonts w:ascii="Arial" w:hAnsi="Arial" w:cs="Arial"/>
          <w:b/>
          <w:sz w:val="16"/>
          <w:szCs w:val="16"/>
        </w:rPr>
        <w:t>____________________________</w:t>
      </w:r>
      <w:r w:rsidR="004B5D72">
        <w:rPr>
          <w:rFonts w:ascii="Arial" w:hAnsi="Arial" w:cs="Arial"/>
          <w:b/>
          <w:sz w:val="16"/>
          <w:szCs w:val="16"/>
        </w:rPr>
        <w:t>_</w:t>
      </w:r>
      <w:r>
        <w:rPr>
          <w:rFonts w:ascii="Arial" w:hAnsi="Arial" w:cs="Arial"/>
          <w:b/>
          <w:sz w:val="16"/>
          <w:szCs w:val="16"/>
        </w:rPr>
        <w:t>_______________________________________________________________________________________________</w:t>
      </w:r>
    </w:p>
    <w:p w:rsidR="00171AAF" w:rsidRDefault="00171AAF" w:rsidP="00EE4C2F">
      <w:pPr>
        <w:spacing w:after="0"/>
        <w:jc w:val="center"/>
        <w:rPr>
          <w:rFonts w:ascii="Arial" w:hAnsi="Arial" w:cs="Arial"/>
          <w:sz w:val="16"/>
          <w:szCs w:val="16"/>
        </w:rPr>
      </w:pPr>
    </w:p>
    <w:p w:rsidR="00EE4C2F" w:rsidRPr="00AF6E11" w:rsidRDefault="00EE4C2F" w:rsidP="00EE4C2F">
      <w:pPr>
        <w:spacing w:after="0"/>
        <w:jc w:val="center"/>
        <w:rPr>
          <w:rFonts w:ascii="Arial" w:hAnsi="Arial" w:cs="Arial"/>
          <w:sz w:val="24"/>
          <w:szCs w:val="24"/>
        </w:rPr>
      </w:pPr>
      <w:r w:rsidRPr="00AF6E11">
        <w:rPr>
          <w:rFonts w:ascii="Arial" w:hAnsi="Arial" w:cs="Arial"/>
          <w:sz w:val="24"/>
          <w:szCs w:val="24"/>
        </w:rPr>
        <w:t>We hope you find the information in this newsletter useful, and always welcome your feedback.</w:t>
      </w:r>
    </w:p>
    <w:p w:rsidR="00D4067C" w:rsidRPr="00171AAF" w:rsidRDefault="00D4067C" w:rsidP="00EE4C2F">
      <w:pPr>
        <w:spacing w:after="0"/>
        <w:jc w:val="both"/>
        <w:rPr>
          <w:rFonts w:ascii="Arial" w:hAnsi="Arial" w:cs="Arial"/>
          <w:sz w:val="18"/>
          <w:szCs w:val="18"/>
        </w:rPr>
      </w:pPr>
      <w:r>
        <w:rPr>
          <w:rFonts w:ascii="Arial" w:hAnsi="Arial" w:cs="Arial"/>
          <w:sz w:val="24"/>
          <w:szCs w:val="24"/>
        </w:rPr>
        <w:t xml:space="preserve"> </w:t>
      </w:r>
    </w:p>
    <w:p w:rsidR="008E2495" w:rsidRPr="00AF6E11" w:rsidRDefault="0056511F" w:rsidP="00EE4C2F">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2F741D6" wp14:editId="32A55A6D">
                <wp:simplePos x="0" y="0"/>
                <wp:positionH relativeFrom="column">
                  <wp:posOffset>4171315</wp:posOffset>
                </wp:positionH>
                <wp:positionV relativeFrom="paragraph">
                  <wp:posOffset>122555</wp:posOffset>
                </wp:positionV>
                <wp:extent cx="2619375" cy="1762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1937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11F" w:rsidRDefault="0056511F" w:rsidP="0056511F">
                            <w:pPr>
                              <w:jc w:val="center"/>
                            </w:pPr>
                          </w:p>
                          <w:p w:rsidR="0056511F" w:rsidRDefault="0056511F" w:rsidP="0056511F">
                            <w:pPr>
                              <w:jc w:val="center"/>
                            </w:pPr>
                            <w:r>
                              <w:rPr>
                                <w:noProof/>
                              </w:rPr>
                              <w:drawing>
                                <wp:inline distT="0" distB="0" distL="0" distR="0" wp14:anchorId="09F16E08" wp14:editId="0E16DBDC">
                                  <wp:extent cx="2395728" cy="1243584"/>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2395728" cy="1243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F741D6" id="Text Box 7" o:spid="_x0000_s1028" type="#_x0000_t202" style="position:absolute;left:0;text-align:left;margin-left:328.45pt;margin-top:9.65pt;width:206.25pt;height:13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" filled="f" stroked="f" strokeweight=".5pt">
                <v:textbox>
                  <w:txbxContent>
                    <w:p w:rsidR="0056511F" w:rsidRDefault="0056511F" w:rsidP="0056511F">
                      <w:pPr>
                        <w:jc w:val="center"/>
                      </w:pPr>
                    </w:p>
                    <w:p w:rsidR="0056511F" w:rsidRDefault="0056511F" w:rsidP="0056511F">
                      <w:pPr>
                        <w:jc w:val="center"/>
                      </w:pPr>
                      <w:r>
                        <w:rPr>
                          <w:noProof/>
                        </w:rPr>
                        <w:drawing>
                          <wp:inline distT="0" distB="0" distL="0" distR="0" wp14:anchorId="09F16E08" wp14:editId="0E16DBDC">
                            <wp:extent cx="2395728" cy="1243584"/>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AVID LOGO 6 JILL ASHLEY-10.2014.jpg"/>
                                    <pic:cNvPicPr/>
                                  </pic:nvPicPr>
                                  <pic:blipFill>
                                    <a:blip r:embed="rId8">
                                      <a:extLst>
                                        <a:ext uri="{28A0092B-C50C-407E-A947-70E740481C1C}">
                                          <a14:useLocalDpi xmlns:a14="http://schemas.microsoft.com/office/drawing/2010/main" val="0"/>
                                        </a:ext>
                                      </a:extLst>
                                    </a:blip>
                                    <a:stretch>
                                      <a:fillRect/>
                                    </a:stretch>
                                  </pic:blipFill>
                                  <pic:spPr>
                                    <a:xfrm>
                                      <a:off x="0" y="0"/>
                                      <a:ext cx="2395728" cy="1243584"/>
                                    </a:xfrm>
                                    <a:prstGeom prst="rect">
                                      <a:avLst/>
                                    </a:prstGeom>
                                  </pic:spPr>
                                </pic:pic>
                              </a:graphicData>
                            </a:graphic>
                          </wp:inline>
                        </w:drawing>
                      </w:r>
                    </w:p>
                  </w:txbxContent>
                </v:textbox>
              </v:shape>
            </w:pict>
          </mc:Fallback>
        </mc:AlternateContent>
      </w:r>
      <w:r w:rsidR="00D4067C">
        <w:rPr>
          <w:rFonts w:ascii="Arial" w:hAnsi="Arial" w:cs="Arial"/>
          <w:sz w:val="24"/>
          <w:szCs w:val="24"/>
        </w:rPr>
        <w:t>B</w:t>
      </w:r>
      <w:r w:rsidR="008E2495" w:rsidRPr="00AF6E11">
        <w:rPr>
          <w:rFonts w:ascii="Arial" w:hAnsi="Arial" w:cs="Arial"/>
          <w:sz w:val="24"/>
          <w:szCs w:val="24"/>
        </w:rPr>
        <w:t>est regards,</w:t>
      </w:r>
    </w:p>
    <w:p w:rsidR="008E2495" w:rsidRPr="00AF6E11" w:rsidRDefault="00D4067C" w:rsidP="00EE4C2F">
      <w:pPr>
        <w:spacing w:after="0"/>
        <w:jc w:val="both"/>
        <w:rPr>
          <w:rFonts w:ascii="Arial" w:hAnsi="Arial" w:cs="Arial"/>
          <w:sz w:val="24"/>
          <w:szCs w:val="24"/>
        </w:rPr>
      </w:pPr>
      <w:r w:rsidRPr="00AF6E11">
        <w:rPr>
          <w:rFonts w:ascii="Arial" w:hAnsi="Arial" w:cs="Arial"/>
          <w:noProof/>
          <w:sz w:val="24"/>
          <w:szCs w:val="24"/>
        </w:rPr>
        <mc:AlternateContent>
          <mc:Choice Requires="wps">
            <w:drawing>
              <wp:anchor distT="0" distB="0" distL="114300" distR="114300" simplePos="0" relativeHeight="251659264" behindDoc="0" locked="0" layoutInCell="1" allowOverlap="1" wp14:anchorId="0C8ADD78" wp14:editId="465EFE37">
                <wp:simplePos x="0" y="0"/>
                <wp:positionH relativeFrom="column">
                  <wp:posOffset>-76200</wp:posOffset>
                </wp:positionH>
                <wp:positionV relativeFrom="paragraph">
                  <wp:posOffset>127635</wp:posOffset>
                </wp:positionV>
                <wp:extent cx="4362450" cy="1552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3624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4B6" w:rsidRPr="00EF64B6" w:rsidRDefault="00E5089B">
                            <w:pPr>
                              <w:rPr>
                                <w:sz w:val="24"/>
                                <w:szCs w:val="24"/>
                              </w:rPr>
                            </w:pPr>
                            <w:r w:rsidRPr="00E5089B">
                              <w:rPr>
                                <w:noProof/>
                              </w:rPr>
                              <w:drawing>
                                <wp:inline distT="0" distB="0" distL="0" distR="0" wp14:anchorId="6564C4FB" wp14:editId="65E5C578">
                                  <wp:extent cx="2221992" cy="512064"/>
                                  <wp:effectExtent l="0" t="0" r="698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1992" cy="512064"/>
                                          </a:xfrm>
                                          <a:prstGeom prst="rect">
                                            <a:avLst/>
                                          </a:prstGeom>
                                          <a:noFill/>
                                          <a:ln>
                                            <a:noFill/>
                                          </a:ln>
                                        </pic:spPr>
                                      </pic:pic>
                                    </a:graphicData>
                                  </a:graphic>
                                </wp:inline>
                              </w:drawing>
                            </w:r>
                          </w:p>
                          <w:p w:rsidR="00EF64B6" w:rsidRDefault="00EF64B6">
                            <w:pPr>
                              <w:rPr>
                                <w:rFonts w:ascii="Arial" w:hAnsi="Arial" w:cs="Arial"/>
                              </w:rPr>
                            </w:pPr>
                            <w:r w:rsidRPr="00EF64B6">
                              <w:rPr>
                                <w:rFonts w:ascii="Arial" w:hAnsi="Arial" w:cs="Arial"/>
                                <w:sz w:val="24"/>
                                <w:szCs w:val="24"/>
                              </w:rPr>
                              <w:t>Managing Shareholder</w:t>
                            </w:r>
                            <w:r w:rsidR="00E5089B" w:rsidRPr="00EF64B6">
                              <w:rPr>
                                <w:rFonts w:ascii="Arial" w:hAnsi="Arial" w:cs="Arial"/>
                              </w:rPr>
                              <w:t xml:space="preserve">     </w:t>
                            </w:r>
                          </w:p>
                          <w:p w:rsidR="00EF64B6" w:rsidRDefault="00EF64B6" w:rsidP="00EF64B6">
                            <w:pPr>
                              <w:jc w:val="center"/>
                              <w:rPr>
                                <w:rFonts w:ascii="Arial" w:hAnsi="Arial" w:cs="Arial"/>
                                <w:b/>
                                <w:sz w:val="20"/>
                                <w:szCs w:val="20"/>
                              </w:rPr>
                            </w:pPr>
                            <w:r>
                              <w:rPr>
                                <w:rFonts w:ascii="Arial" w:hAnsi="Arial" w:cs="Arial"/>
                                <w:b/>
                                <w:sz w:val="20"/>
                                <w:szCs w:val="20"/>
                              </w:rPr>
                              <w:t>4711 NW 53</w:t>
                            </w:r>
                            <w:r w:rsidRPr="00EF64B6">
                              <w:rPr>
                                <w:rFonts w:ascii="Arial" w:hAnsi="Arial" w:cs="Arial"/>
                                <w:b/>
                                <w:sz w:val="20"/>
                                <w:szCs w:val="20"/>
                                <w:vertAlign w:val="superscript"/>
                              </w:rPr>
                              <w:t>rd</w:t>
                            </w:r>
                            <w:r>
                              <w:rPr>
                                <w:rFonts w:ascii="Arial" w:hAnsi="Arial" w:cs="Arial"/>
                                <w:b/>
                                <w:sz w:val="20"/>
                                <w:szCs w:val="20"/>
                              </w:rPr>
                              <w:t xml:space="preserve"> Avenue </w:t>
                            </w:r>
                            <w:r>
                              <w:rPr>
                                <w:rFonts w:ascii="Adobe Hebrew" w:hAnsi="Adobe Hebrew" w:cs="Adobe Hebrew"/>
                                <w:b/>
                                <w:sz w:val="20"/>
                                <w:szCs w:val="20"/>
                              </w:rPr>
                              <w:t>|</w:t>
                            </w:r>
                            <w:r>
                              <w:rPr>
                                <w:rFonts w:ascii="Arial" w:hAnsi="Arial" w:cs="Arial"/>
                                <w:b/>
                                <w:sz w:val="20"/>
                                <w:szCs w:val="20"/>
                              </w:rPr>
                              <w:t xml:space="preserve"> Gainesville, FL 32653</w:t>
                            </w:r>
                          </w:p>
                          <w:p w:rsidR="00EF64B6" w:rsidRPr="00EF64B6" w:rsidRDefault="00EF64B6" w:rsidP="00EF64B6">
                            <w:pPr>
                              <w:rPr>
                                <w:rFonts w:ascii="Arial" w:hAnsi="Arial" w:cs="Arial"/>
                                <w:b/>
                                <w:sz w:val="20"/>
                                <w:szCs w:val="20"/>
                              </w:rPr>
                            </w:pPr>
                            <w:r>
                              <w:rPr>
                                <w:rFonts w:ascii="Arial" w:hAnsi="Arial" w:cs="Arial"/>
                                <w:b/>
                                <w:sz w:val="20"/>
                                <w:szCs w:val="20"/>
                              </w:rPr>
                              <w:t xml:space="preserve">Phone: (352) 373-1080 </w:t>
                            </w:r>
                            <w:r>
                              <w:rPr>
                                <w:rFonts w:ascii="Adobe Hebrew" w:hAnsi="Adobe Hebrew" w:cs="Adobe Hebrew"/>
                                <w:b/>
                                <w:sz w:val="20"/>
                                <w:szCs w:val="20"/>
                              </w:rPr>
                              <w:t>|</w:t>
                            </w:r>
                            <w:r>
                              <w:rPr>
                                <w:rFonts w:ascii="Arial" w:hAnsi="Arial" w:cs="Arial"/>
                                <w:b/>
                                <w:sz w:val="20"/>
                                <w:szCs w:val="20"/>
                              </w:rPr>
                              <w:t xml:space="preserve"> Fax: (352) 373-5110 </w:t>
                            </w:r>
                            <w:r>
                              <w:rPr>
                                <w:rFonts w:ascii="Adobe Hebrew" w:hAnsi="Adobe Hebrew" w:cs="Adobe Hebrew"/>
                                <w:b/>
                                <w:sz w:val="20"/>
                                <w:szCs w:val="20"/>
                              </w:rPr>
                              <w:t>|</w:t>
                            </w:r>
                            <w:r>
                              <w:rPr>
                                <w:rFonts w:ascii="Arial" w:hAnsi="Arial" w:cs="Arial"/>
                                <w:b/>
                                <w:sz w:val="20"/>
                                <w:szCs w:val="20"/>
                              </w:rPr>
                              <w:t xml:space="preserve"> </w:t>
                            </w:r>
                            <w:r w:rsidR="00A841FE">
                              <w:rPr>
                                <w:rFonts w:ascii="Arial" w:hAnsi="Arial" w:cs="Arial"/>
                                <w:b/>
                                <w:sz w:val="20"/>
                                <w:szCs w:val="20"/>
                              </w:rPr>
                              <w:t>w</w:t>
                            </w:r>
                            <w:r>
                              <w:rPr>
                                <w:rFonts w:ascii="Arial" w:hAnsi="Arial" w:cs="Arial"/>
                                <w:b/>
                                <w:sz w:val="20"/>
                                <w:szCs w:val="20"/>
                              </w:rPr>
                              <w:t>ww.mcdavidco.com</w:t>
                            </w:r>
                          </w:p>
                          <w:p w:rsidR="00E5089B" w:rsidRPr="00EF64B6" w:rsidRDefault="00E5089B" w:rsidP="00EF64B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DD78" id="Text Box 10" o:spid="_x0000_s1029" type="#_x0000_t202" style="position:absolute;left:0;text-align:left;margin-left:-6pt;margin-top:10.05pt;width:343.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" fillcolor="white [3201]" stroked="f" strokeweight=".5pt">
                <v:textbox>
                  <w:txbxContent>
                    <w:p w:rsidR="00EF64B6" w:rsidRPr="00EF64B6" w:rsidRDefault="00E5089B">
                      <w:pPr>
                        <w:rPr>
                          <w:sz w:val="24"/>
                          <w:szCs w:val="24"/>
                        </w:rPr>
                      </w:pPr>
                      <w:r w:rsidRPr="00E5089B">
                        <w:rPr>
                          <w:noProof/>
                        </w:rPr>
                        <w:drawing>
                          <wp:inline distT="0" distB="0" distL="0" distR="0" wp14:anchorId="6564C4FB" wp14:editId="65E5C578">
                            <wp:extent cx="2221992" cy="512064"/>
                            <wp:effectExtent l="0" t="0" r="698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1992" cy="512064"/>
                                    </a:xfrm>
                                    <a:prstGeom prst="rect">
                                      <a:avLst/>
                                    </a:prstGeom>
                                    <a:noFill/>
                                    <a:ln>
                                      <a:noFill/>
                                    </a:ln>
                                  </pic:spPr>
                                </pic:pic>
                              </a:graphicData>
                            </a:graphic>
                          </wp:inline>
                        </w:drawing>
                      </w:r>
                    </w:p>
                    <w:p w:rsidR="00EF64B6" w:rsidRDefault="00EF64B6">
                      <w:pPr>
                        <w:rPr>
                          <w:rFonts w:ascii="Arial" w:hAnsi="Arial" w:cs="Arial"/>
                        </w:rPr>
                      </w:pPr>
                      <w:r w:rsidRPr="00EF64B6">
                        <w:rPr>
                          <w:rFonts w:ascii="Arial" w:hAnsi="Arial" w:cs="Arial"/>
                          <w:sz w:val="24"/>
                          <w:szCs w:val="24"/>
                        </w:rPr>
                        <w:t>Managing Shareholder</w:t>
                      </w:r>
                      <w:r w:rsidR="00E5089B" w:rsidRPr="00EF64B6">
                        <w:rPr>
                          <w:rFonts w:ascii="Arial" w:hAnsi="Arial" w:cs="Arial"/>
                        </w:rPr>
                        <w:t xml:space="preserve">     </w:t>
                      </w:r>
                    </w:p>
                    <w:p w:rsidR="00EF64B6" w:rsidRDefault="00EF64B6" w:rsidP="00EF64B6">
                      <w:pPr>
                        <w:jc w:val="center"/>
                        <w:rPr>
                          <w:rFonts w:ascii="Arial" w:hAnsi="Arial" w:cs="Arial"/>
                          <w:b/>
                          <w:sz w:val="20"/>
                          <w:szCs w:val="20"/>
                        </w:rPr>
                      </w:pPr>
                      <w:r>
                        <w:rPr>
                          <w:rFonts w:ascii="Arial" w:hAnsi="Arial" w:cs="Arial"/>
                          <w:b/>
                          <w:sz w:val="20"/>
                          <w:szCs w:val="20"/>
                        </w:rPr>
                        <w:t>4711 NW 53</w:t>
                      </w:r>
                      <w:r w:rsidRPr="00EF64B6">
                        <w:rPr>
                          <w:rFonts w:ascii="Arial" w:hAnsi="Arial" w:cs="Arial"/>
                          <w:b/>
                          <w:sz w:val="20"/>
                          <w:szCs w:val="20"/>
                          <w:vertAlign w:val="superscript"/>
                        </w:rPr>
                        <w:t>rd</w:t>
                      </w:r>
                      <w:r>
                        <w:rPr>
                          <w:rFonts w:ascii="Arial" w:hAnsi="Arial" w:cs="Arial"/>
                          <w:b/>
                          <w:sz w:val="20"/>
                          <w:szCs w:val="20"/>
                        </w:rPr>
                        <w:t xml:space="preserve"> Avenue </w:t>
                      </w:r>
                      <w:r>
                        <w:rPr>
                          <w:rFonts w:ascii="Adobe Hebrew" w:hAnsi="Adobe Hebrew" w:cs="Adobe Hebrew"/>
                          <w:b/>
                          <w:sz w:val="20"/>
                          <w:szCs w:val="20"/>
                        </w:rPr>
                        <w:t>|</w:t>
                      </w:r>
                      <w:r>
                        <w:rPr>
                          <w:rFonts w:ascii="Arial" w:hAnsi="Arial" w:cs="Arial"/>
                          <w:b/>
                          <w:sz w:val="20"/>
                          <w:szCs w:val="20"/>
                        </w:rPr>
                        <w:t xml:space="preserve"> Gainesville, FL 32653</w:t>
                      </w:r>
                    </w:p>
                    <w:p w:rsidR="00EF64B6" w:rsidRPr="00EF64B6" w:rsidRDefault="00EF64B6" w:rsidP="00EF64B6">
                      <w:pPr>
                        <w:rPr>
                          <w:rFonts w:ascii="Arial" w:hAnsi="Arial" w:cs="Arial"/>
                          <w:b/>
                          <w:sz w:val="20"/>
                          <w:szCs w:val="20"/>
                        </w:rPr>
                      </w:pPr>
                      <w:r>
                        <w:rPr>
                          <w:rFonts w:ascii="Arial" w:hAnsi="Arial" w:cs="Arial"/>
                          <w:b/>
                          <w:sz w:val="20"/>
                          <w:szCs w:val="20"/>
                        </w:rPr>
                        <w:t xml:space="preserve">Phone: (352) 373-1080 </w:t>
                      </w:r>
                      <w:r>
                        <w:rPr>
                          <w:rFonts w:ascii="Adobe Hebrew" w:hAnsi="Adobe Hebrew" w:cs="Adobe Hebrew"/>
                          <w:b/>
                          <w:sz w:val="20"/>
                          <w:szCs w:val="20"/>
                        </w:rPr>
                        <w:t>|</w:t>
                      </w:r>
                      <w:r>
                        <w:rPr>
                          <w:rFonts w:ascii="Arial" w:hAnsi="Arial" w:cs="Arial"/>
                          <w:b/>
                          <w:sz w:val="20"/>
                          <w:szCs w:val="20"/>
                        </w:rPr>
                        <w:t xml:space="preserve"> Fax: (352) 373-5110 </w:t>
                      </w:r>
                      <w:r>
                        <w:rPr>
                          <w:rFonts w:ascii="Adobe Hebrew" w:hAnsi="Adobe Hebrew" w:cs="Adobe Hebrew"/>
                          <w:b/>
                          <w:sz w:val="20"/>
                          <w:szCs w:val="20"/>
                        </w:rPr>
                        <w:t>|</w:t>
                      </w:r>
                      <w:r>
                        <w:rPr>
                          <w:rFonts w:ascii="Arial" w:hAnsi="Arial" w:cs="Arial"/>
                          <w:b/>
                          <w:sz w:val="20"/>
                          <w:szCs w:val="20"/>
                        </w:rPr>
                        <w:t xml:space="preserve"> </w:t>
                      </w:r>
                      <w:r w:rsidR="00A841FE">
                        <w:rPr>
                          <w:rFonts w:ascii="Arial" w:hAnsi="Arial" w:cs="Arial"/>
                          <w:b/>
                          <w:sz w:val="20"/>
                          <w:szCs w:val="20"/>
                        </w:rPr>
                        <w:t>w</w:t>
                      </w:r>
                      <w:r>
                        <w:rPr>
                          <w:rFonts w:ascii="Arial" w:hAnsi="Arial" w:cs="Arial"/>
                          <w:b/>
                          <w:sz w:val="20"/>
                          <w:szCs w:val="20"/>
                        </w:rPr>
                        <w:t>ww.mcdavidco.com</w:t>
                      </w:r>
                    </w:p>
                    <w:p w:rsidR="00E5089B" w:rsidRPr="00EF64B6" w:rsidRDefault="00E5089B" w:rsidP="00EF64B6">
                      <w:pPr>
                        <w:jc w:val="center"/>
                        <w:rPr>
                          <w:rFonts w:ascii="Arial" w:hAnsi="Arial" w:cs="Arial"/>
                        </w:rPr>
                      </w:pPr>
                    </w:p>
                  </w:txbxContent>
                </v:textbox>
              </v:shape>
            </w:pict>
          </mc:Fallback>
        </mc:AlternateContent>
      </w:r>
      <w:r w:rsidR="008E2495" w:rsidRPr="00AF6E11">
        <w:rPr>
          <w:rFonts w:ascii="Arial" w:hAnsi="Arial" w:cs="Arial"/>
          <w:sz w:val="24"/>
          <w:szCs w:val="24"/>
        </w:rPr>
        <w:tab/>
      </w:r>
      <w:r w:rsidR="008E2495" w:rsidRPr="00AF6E11">
        <w:rPr>
          <w:rFonts w:ascii="Arial" w:hAnsi="Arial" w:cs="Arial"/>
          <w:sz w:val="24"/>
          <w:szCs w:val="24"/>
        </w:rPr>
        <w:tab/>
      </w:r>
      <w:r w:rsidR="008E2495" w:rsidRPr="00AF6E11">
        <w:rPr>
          <w:rFonts w:ascii="Arial" w:hAnsi="Arial" w:cs="Arial"/>
          <w:sz w:val="24"/>
          <w:szCs w:val="24"/>
        </w:rPr>
        <w:tab/>
      </w:r>
    </w:p>
    <w:sectPr w:rsidR="008E2495" w:rsidRPr="00AF6E11" w:rsidSect="002C0D81">
      <w:headerReference w:type="default" r:id="rId16"/>
      <w:footerReference w:type="default" r:id="rId17"/>
      <w:type w:val="continuous"/>
      <w:pgSz w:w="12240" w:h="15840"/>
      <w:pgMar w:top="288" w:right="43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C3D" w:rsidRDefault="00803C3D" w:rsidP="00AB184C">
      <w:pPr>
        <w:spacing w:after="0" w:line="240" w:lineRule="auto"/>
      </w:pPr>
      <w:r>
        <w:separator/>
      </w:r>
    </w:p>
  </w:endnote>
  <w:endnote w:type="continuationSeparator" w:id="0">
    <w:p w:rsidR="00803C3D" w:rsidRDefault="00803C3D" w:rsidP="00AB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Hebrew">
    <w:altName w:val="Times New Roman"/>
    <w:panose1 w:val="00000000000000000000"/>
    <w:charset w:val="00"/>
    <w:family w:val="roman"/>
    <w:notTrueType/>
    <w:pitch w:val="variable"/>
    <w:sig w:usb0="00000000"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5087"/>
      <w:gridCol w:w="1130"/>
      <w:gridCol w:w="5087"/>
    </w:tblGrid>
    <w:tr w:rsidR="00AF6E11">
      <w:trPr>
        <w:trHeight w:val="151"/>
      </w:trPr>
      <w:tc>
        <w:tcPr>
          <w:tcW w:w="2250" w:type="pct"/>
          <w:tcBorders>
            <w:bottom w:val="single" w:sz="4" w:space="0" w:color="4F81BD" w:themeColor="accent1"/>
          </w:tcBorders>
        </w:tcPr>
        <w:p w:rsidR="00AF6E11" w:rsidRDefault="00AF6E11">
          <w:pPr>
            <w:pStyle w:val="Header"/>
            <w:rPr>
              <w:rFonts w:asciiTheme="majorHAnsi" w:eastAsiaTheme="majorEastAsia" w:hAnsiTheme="majorHAnsi" w:cstheme="majorBidi"/>
              <w:b/>
              <w:bCs/>
            </w:rPr>
          </w:pPr>
        </w:p>
      </w:tc>
      <w:tc>
        <w:tcPr>
          <w:tcW w:w="500" w:type="pct"/>
          <w:vMerge w:val="restart"/>
          <w:noWrap/>
          <w:vAlign w:val="center"/>
        </w:tcPr>
        <w:p w:rsidR="00AF6E11" w:rsidRDefault="00AF6E1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47442" w:rsidRPr="00C47442">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AF6E11" w:rsidRDefault="00AF6E11">
          <w:pPr>
            <w:pStyle w:val="Header"/>
            <w:rPr>
              <w:rFonts w:asciiTheme="majorHAnsi" w:eastAsiaTheme="majorEastAsia" w:hAnsiTheme="majorHAnsi" w:cstheme="majorBidi"/>
              <w:b/>
              <w:bCs/>
            </w:rPr>
          </w:pPr>
        </w:p>
      </w:tc>
    </w:tr>
    <w:tr w:rsidR="00AF6E11">
      <w:trPr>
        <w:trHeight w:val="150"/>
      </w:trPr>
      <w:tc>
        <w:tcPr>
          <w:tcW w:w="2250" w:type="pct"/>
          <w:tcBorders>
            <w:top w:val="single" w:sz="4" w:space="0" w:color="4F81BD" w:themeColor="accent1"/>
          </w:tcBorders>
        </w:tcPr>
        <w:p w:rsidR="00AF6E11" w:rsidRDefault="00AF6E11">
          <w:pPr>
            <w:pStyle w:val="Header"/>
            <w:rPr>
              <w:rFonts w:asciiTheme="majorHAnsi" w:eastAsiaTheme="majorEastAsia" w:hAnsiTheme="majorHAnsi" w:cstheme="majorBidi"/>
              <w:b/>
              <w:bCs/>
            </w:rPr>
          </w:pPr>
        </w:p>
      </w:tc>
      <w:tc>
        <w:tcPr>
          <w:tcW w:w="500" w:type="pct"/>
          <w:vMerge/>
        </w:tcPr>
        <w:p w:rsidR="00AF6E11" w:rsidRDefault="00AF6E1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6E11" w:rsidRDefault="00AF6E11">
          <w:pPr>
            <w:pStyle w:val="Header"/>
            <w:rPr>
              <w:rFonts w:asciiTheme="majorHAnsi" w:eastAsiaTheme="majorEastAsia" w:hAnsiTheme="majorHAnsi" w:cstheme="majorBidi"/>
              <w:b/>
              <w:bCs/>
            </w:rPr>
          </w:pPr>
        </w:p>
      </w:tc>
    </w:tr>
  </w:tbl>
  <w:p w:rsidR="00AF6E11" w:rsidRDefault="00AF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5087"/>
      <w:gridCol w:w="1130"/>
      <w:gridCol w:w="5087"/>
    </w:tblGrid>
    <w:tr w:rsidR="00EE4C2F">
      <w:trPr>
        <w:trHeight w:val="151"/>
      </w:trPr>
      <w:tc>
        <w:tcPr>
          <w:tcW w:w="2250" w:type="pct"/>
          <w:tcBorders>
            <w:bottom w:val="single" w:sz="4" w:space="0" w:color="4F81BD" w:themeColor="accent1"/>
          </w:tcBorders>
        </w:tcPr>
        <w:p w:rsidR="00EE4C2F" w:rsidRDefault="00EE4C2F">
          <w:pPr>
            <w:pStyle w:val="Header"/>
            <w:rPr>
              <w:rFonts w:asciiTheme="majorHAnsi" w:eastAsiaTheme="majorEastAsia" w:hAnsiTheme="majorHAnsi" w:cstheme="majorBidi"/>
              <w:b/>
              <w:bCs/>
            </w:rPr>
          </w:pPr>
        </w:p>
      </w:tc>
      <w:tc>
        <w:tcPr>
          <w:tcW w:w="500" w:type="pct"/>
          <w:vMerge w:val="restart"/>
          <w:noWrap/>
          <w:vAlign w:val="center"/>
        </w:tcPr>
        <w:p w:rsidR="00EE4C2F" w:rsidRDefault="00EE4C2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F6694" w:rsidRPr="008F6694">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E4C2F" w:rsidRDefault="00EE4C2F">
          <w:pPr>
            <w:pStyle w:val="Header"/>
            <w:rPr>
              <w:rFonts w:asciiTheme="majorHAnsi" w:eastAsiaTheme="majorEastAsia" w:hAnsiTheme="majorHAnsi" w:cstheme="majorBidi"/>
              <w:b/>
              <w:bCs/>
            </w:rPr>
          </w:pPr>
        </w:p>
      </w:tc>
    </w:tr>
    <w:tr w:rsidR="00EE4C2F">
      <w:trPr>
        <w:trHeight w:val="150"/>
      </w:trPr>
      <w:tc>
        <w:tcPr>
          <w:tcW w:w="2250" w:type="pct"/>
          <w:tcBorders>
            <w:top w:val="single" w:sz="4" w:space="0" w:color="4F81BD" w:themeColor="accent1"/>
          </w:tcBorders>
        </w:tcPr>
        <w:p w:rsidR="00EE4C2F" w:rsidRDefault="00EE4C2F">
          <w:pPr>
            <w:pStyle w:val="Header"/>
            <w:rPr>
              <w:rFonts w:asciiTheme="majorHAnsi" w:eastAsiaTheme="majorEastAsia" w:hAnsiTheme="majorHAnsi" w:cstheme="majorBidi"/>
              <w:b/>
              <w:bCs/>
            </w:rPr>
          </w:pPr>
        </w:p>
      </w:tc>
      <w:tc>
        <w:tcPr>
          <w:tcW w:w="500" w:type="pct"/>
          <w:vMerge/>
        </w:tcPr>
        <w:p w:rsidR="00EE4C2F" w:rsidRDefault="00EE4C2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E4C2F" w:rsidRDefault="00EE4C2F">
          <w:pPr>
            <w:pStyle w:val="Header"/>
            <w:rPr>
              <w:rFonts w:asciiTheme="majorHAnsi" w:eastAsiaTheme="majorEastAsia" w:hAnsiTheme="majorHAnsi" w:cstheme="majorBidi"/>
              <w:b/>
              <w:bCs/>
            </w:rPr>
          </w:pPr>
        </w:p>
      </w:tc>
    </w:tr>
  </w:tbl>
  <w:p w:rsidR="00EE4C2F" w:rsidRDefault="00EE4C2F">
    <w:pPr>
      <w:pStyle w:val="Footer"/>
    </w:pPr>
  </w:p>
  <w:p w:rsidR="00321EEA" w:rsidRDefault="00321EEA"/>
  <w:p w:rsidR="00321EEA" w:rsidRDefault="00321E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C3D" w:rsidRDefault="00803C3D" w:rsidP="00AB184C">
      <w:pPr>
        <w:spacing w:after="0" w:line="240" w:lineRule="auto"/>
      </w:pPr>
      <w:r>
        <w:separator/>
      </w:r>
    </w:p>
  </w:footnote>
  <w:footnote w:type="continuationSeparator" w:id="0">
    <w:p w:rsidR="00803C3D" w:rsidRDefault="00803C3D" w:rsidP="00AB1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11" w:rsidRPr="00366E5E" w:rsidRDefault="003E66C8" w:rsidP="00AB184C">
    <w:pPr>
      <w:pStyle w:val="Header"/>
      <w:jc w:val="center"/>
      <w:rPr>
        <w:rFonts w:ascii="Arial" w:hAnsi="Arial" w:cs="Arial"/>
        <w:b/>
        <w:sz w:val="24"/>
        <w:szCs w:val="24"/>
      </w:rPr>
    </w:pPr>
    <w:r>
      <w:rPr>
        <w:rFonts w:ascii="Arial" w:hAnsi="Arial" w:cs="Arial"/>
        <w:b/>
        <w:sz w:val="24"/>
        <w:szCs w:val="24"/>
      </w:rPr>
      <w:t>January</w:t>
    </w:r>
    <w:r w:rsidR="00AF6E11" w:rsidRPr="00366E5E">
      <w:rPr>
        <w:rFonts w:ascii="Arial" w:hAnsi="Arial" w:cs="Arial"/>
        <w:b/>
        <w:sz w:val="24"/>
        <w:szCs w:val="24"/>
      </w:rPr>
      <w:t>, 201</w:t>
    </w:r>
    <w:r>
      <w:rPr>
        <w:rFonts w:ascii="Arial" w:hAnsi="Arial" w:cs="Arial"/>
        <w:b/>
        <w:sz w:val="24"/>
        <w:szCs w:val="24"/>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EA" w:rsidRDefault="00EB64E4" w:rsidP="00D536FD">
    <w:pPr>
      <w:pStyle w:val="Header"/>
      <w:jc w:val="center"/>
      <w:rPr>
        <w:rFonts w:ascii="Arial" w:hAnsi="Arial" w:cs="Arial"/>
        <w:b/>
        <w:sz w:val="24"/>
        <w:szCs w:val="24"/>
      </w:rPr>
    </w:pPr>
    <w:r>
      <w:rPr>
        <w:rFonts w:ascii="Arial" w:hAnsi="Arial" w:cs="Arial"/>
        <w:b/>
        <w:sz w:val="24"/>
        <w:szCs w:val="24"/>
      </w:rPr>
      <w:t>July</w:t>
    </w:r>
    <w:r w:rsidR="00EE4C2F">
      <w:rPr>
        <w:rFonts w:ascii="Arial" w:hAnsi="Arial" w:cs="Arial"/>
        <w:b/>
        <w:sz w:val="24"/>
        <w:szCs w:val="24"/>
      </w:rPr>
      <w:t>, 2014</w:t>
    </w:r>
  </w:p>
  <w:p w:rsidR="00D536FD" w:rsidRDefault="00D536FD" w:rsidP="00D536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27F"/>
    <w:multiLevelType w:val="hybridMultilevel"/>
    <w:tmpl w:val="82601008"/>
    <w:lvl w:ilvl="0" w:tplc="0F0CA24A">
      <w:numFmt w:val="bullet"/>
      <w:lvlText w:val=""/>
      <w:lvlJc w:val="left"/>
      <w:pPr>
        <w:ind w:left="2330" w:hanging="360"/>
      </w:pPr>
      <w:rPr>
        <w:rFonts w:ascii="Symbol" w:eastAsiaTheme="minorHAnsi" w:hAnsi="Symbol" w:cs="Arial"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1">
    <w:nsid w:val="15A5114D"/>
    <w:multiLevelType w:val="hybridMultilevel"/>
    <w:tmpl w:val="D452CA86"/>
    <w:lvl w:ilvl="0" w:tplc="7B642A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43F88"/>
    <w:multiLevelType w:val="hybridMultilevel"/>
    <w:tmpl w:val="0D3024FE"/>
    <w:lvl w:ilvl="0" w:tplc="F22054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43E6E"/>
    <w:multiLevelType w:val="hybridMultilevel"/>
    <w:tmpl w:val="E8386762"/>
    <w:lvl w:ilvl="0" w:tplc="9F002998">
      <w:numFmt w:val="bullet"/>
      <w:lvlText w:val=""/>
      <w:lvlJc w:val="left"/>
      <w:pPr>
        <w:ind w:left="780" w:hanging="360"/>
      </w:pPr>
      <w:rPr>
        <w:rFonts w:ascii="Symbol" w:eastAsiaTheme="minorHAnsi"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BB178F3"/>
    <w:multiLevelType w:val="hybridMultilevel"/>
    <w:tmpl w:val="6B1203E0"/>
    <w:lvl w:ilvl="0" w:tplc="9F002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14B27"/>
    <w:multiLevelType w:val="hybridMultilevel"/>
    <w:tmpl w:val="1164921E"/>
    <w:lvl w:ilvl="0" w:tplc="3DF2E9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63FA2"/>
    <w:multiLevelType w:val="hybridMultilevel"/>
    <w:tmpl w:val="A170BB04"/>
    <w:lvl w:ilvl="0" w:tplc="9F0029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609A5"/>
    <w:multiLevelType w:val="hybridMultilevel"/>
    <w:tmpl w:val="EC2CD5B8"/>
    <w:lvl w:ilvl="0" w:tplc="8A06776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4C"/>
    <w:rsid w:val="000004A9"/>
    <w:rsid w:val="00011242"/>
    <w:rsid w:val="000165E6"/>
    <w:rsid w:val="00021361"/>
    <w:rsid w:val="00027705"/>
    <w:rsid w:val="00027ACD"/>
    <w:rsid w:val="00044718"/>
    <w:rsid w:val="000514A2"/>
    <w:rsid w:val="0007029B"/>
    <w:rsid w:val="00077C8D"/>
    <w:rsid w:val="00084874"/>
    <w:rsid w:val="000A7CE5"/>
    <w:rsid w:val="000B19B3"/>
    <w:rsid w:val="000D3FEA"/>
    <w:rsid w:val="000D7108"/>
    <w:rsid w:val="000E13F9"/>
    <w:rsid w:val="000E4553"/>
    <w:rsid w:val="00101961"/>
    <w:rsid w:val="00101FD1"/>
    <w:rsid w:val="00102BCD"/>
    <w:rsid w:val="00111F67"/>
    <w:rsid w:val="0012342E"/>
    <w:rsid w:val="001250F8"/>
    <w:rsid w:val="00131B6B"/>
    <w:rsid w:val="00146907"/>
    <w:rsid w:val="00146E1E"/>
    <w:rsid w:val="00167E11"/>
    <w:rsid w:val="00171AAF"/>
    <w:rsid w:val="00184C1B"/>
    <w:rsid w:val="00197299"/>
    <w:rsid w:val="001978BD"/>
    <w:rsid w:val="001B6254"/>
    <w:rsid w:val="001E7CE4"/>
    <w:rsid w:val="002118E4"/>
    <w:rsid w:val="00215989"/>
    <w:rsid w:val="0022160D"/>
    <w:rsid w:val="0022349F"/>
    <w:rsid w:val="00234464"/>
    <w:rsid w:val="00234863"/>
    <w:rsid w:val="00247E64"/>
    <w:rsid w:val="00250089"/>
    <w:rsid w:val="00257CDA"/>
    <w:rsid w:val="002602F1"/>
    <w:rsid w:val="00262CEA"/>
    <w:rsid w:val="00291C22"/>
    <w:rsid w:val="00294490"/>
    <w:rsid w:val="002960DF"/>
    <w:rsid w:val="002A1DFA"/>
    <w:rsid w:val="002B7698"/>
    <w:rsid w:val="002C0D81"/>
    <w:rsid w:val="002C4AD1"/>
    <w:rsid w:val="002D075C"/>
    <w:rsid w:val="002D7C2C"/>
    <w:rsid w:val="002E12AB"/>
    <w:rsid w:val="002E3DCF"/>
    <w:rsid w:val="002E527D"/>
    <w:rsid w:val="002F245B"/>
    <w:rsid w:val="0030115A"/>
    <w:rsid w:val="00306174"/>
    <w:rsid w:val="0031003A"/>
    <w:rsid w:val="003113E5"/>
    <w:rsid w:val="00321EEA"/>
    <w:rsid w:val="00337F6D"/>
    <w:rsid w:val="00340E81"/>
    <w:rsid w:val="003500B5"/>
    <w:rsid w:val="00366E5E"/>
    <w:rsid w:val="00386731"/>
    <w:rsid w:val="0038792F"/>
    <w:rsid w:val="00390500"/>
    <w:rsid w:val="003A0F7D"/>
    <w:rsid w:val="003C4E4C"/>
    <w:rsid w:val="003D0FCB"/>
    <w:rsid w:val="003D38BC"/>
    <w:rsid w:val="003D6145"/>
    <w:rsid w:val="003D73B1"/>
    <w:rsid w:val="003E2B9C"/>
    <w:rsid w:val="003E66C8"/>
    <w:rsid w:val="00427F10"/>
    <w:rsid w:val="00454C99"/>
    <w:rsid w:val="00462CCD"/>
    <w:rsid w:val="00463D10"/>
    <w:rsid w:val="00464D20"/>
    <w:rsid w:val="0048358E"/>
    <w:rsid w:val="00491071"/>
    <w:rsid w:val="004A646C"/>
    <w:rsid w:val="004B5D72"/>
    <w:rsid w:val="004B6FDF"/>
    <w:rsid w:val="004C4950"/>
    <w:rsid w:val="004D602D"/>
    <w:rsid w:val="004D7620"/>
    <w:rsid w:val="00512480"/>
    <w:rsid w:val="005125D2"/>
    <w:rsid w:val="00513F0C"/>
    <w:rsid w:val="0052020D"/>
    <w:rsid w:val="00525D52"/>
    <w:rsid w:val="005524B3"/>
    <w:rsid w:val="0056511F"/>
    <w:rsid w:val="005738DE"/>
    <w:rsid w:val="0059264A"/>
    <w:rsid w:val="0059453A"/>
    <w:rsid w:val="005968C2"/>
    <w:rsid w:val="005B01F8"/>
    <w:rsid w:val="005C15E8"/>
    <w:rsid w:val="005D6A8B"/>
    <w:rsid w:val="005E3C73"/>
    <w:rsid w:val="005F185E"/>
    <w:rsid w:val="00602208"/>
    <w:rsid w:val="00613252"/>
    <w:rsid w:val="00614135"/>
    <w:rsid w:val="00641D6A"/>
    <w:rsid w:val="0064313A"/>
    <w:rsid w:val="00645416"/>
    <w:rsid w:val="006737ED"/>
    <w:rsid w:val="00694716"/>
    <w:rsid w:val="006A15D6"/>
    <w:rsid w:val="006C163E"/>
    <w:rsid w:val="006D0C5F"/>
    <w:rsid w:val="006D7FA0"/>
    <w:rsid w:val="006E5A69"/>
    <w:rsid w:val="006F1A18"/>
    <w:rsid w:val="006F4259"/>
    <w:rsid w:val="00702A09"/>
    <w:rsid w:val="00724583"/>
    <w:rsid w:val="00734797"/>
    <w:rsid w:val="007352F7"/>
    <w:rsid w:val="00737770"/>
    <w:rsid w:val="0074619B"/>
    <w:rsid w:val="00797899"/>
    <w:rsid w:val="007A328C"/>
    <w:rsid w:val="007B398F"/>
    <w:rsid w:val="007B6104"/>
    <w:rsid w:val="007B6958"/>
    <w:rsid w:val="007D5891"/>
    <w:rsid w:val="007E3B85"/>
    <w:rsid w:val="007E3D61"/>
    <w:rsid w:val="007E3D6E"/>
    <w:rsid w:val="007F0504"/>
    <w:rsid w:val="00803C3D"/>
    <w:rsid w:val="0082605C"/>
    <w:rsid w:val="00844DFE"/>
    <w:rsid w:val="00846935"/>
    <w:rsid w:val="00866CE2"/>
    <w:rsid w:val="008740D2"/>
    <w:rsid w:val="00897B61"/>
    <w:rsid w:val="008C69E7"/>
    <w:rsid w:val="008D065C"/>
    <w:rsid w:val="008D2B44"/>
    <w:rsid w:val="008E0BD9"/>
    <w:rsid w:val="008E2495"/>
    <w:rsid w:val="008E4391"/>
    <w:rsid w:val="008F6694"/>
    <w:rsid w:val="00903EBA"/>
    <w:rsid w:val="00904084"/>
    <w:rsid w:val="00913637"/>
    <w:rsid w:val="0091415E"/>
    <w:rsid w:val="00915A1F"/>
    <w:rsid w:val="009362DF"/>
    <w:rsid w:val="00965F41"/>
    <w:rsid w:val="0096630B"/>
    <w:rsid w:val="0096705B"/>
    <w:rsid w:val="00970753"/>
    <w:rsid w:val="0097268D"/>
    <w:rsid w:val="00973138"/>
    <w:rsid w:val="0097685D"/>
    <w:rsid w:val="00976DD8"/>
    <w:rsid w:val="009A6449"/>
    <w:rsid w:val="009B1426"/>
    <w:rsid w:val="009C2FDD"/>
    <w:rsid w:val="009D0540"/>
    <w:rsid w:val="009D3B18"/>
    <w:rsid w:val="009D4B74"/>
    <w:rsid w:val="009D6F56"/>
    <w:rsid w:val="00A00401"/>
    <w:rsid w:val="00A03576"/>
    <w:rsid w:val="00A0499B"/>
    <w:rsid w:val="00A04F5F"/>
    <w:rsid w:val="00A271FE"/>
    <w:rsid w:val="00A27BB4"/>
    <w:rsid w:val="00A3189F"/>
    <w:rsid w:val="00A342CA"/>
    <w:rsid w:val="00A34449"/>
    <w:rsid w:val="00A40171"/>
    <w:rsid w:val="00A676CE"/>
    <w:rsid w:val="00A841FE"/>
    <w:rsid w:val="00A842B2"/>
    <w:rsid w:val="00A84A94"/>
    <w:rsid w:val="00A85A03"/>
    <w:rsid w:val="00A97A4F"/>
    <w:rsid w:val="00AA17FC"/>
    <w:rsid w:val="00AA3BCC"/>
    <w:rsid w:val="00AA62B9"/>
    <w:rsid w:val="00AB184C"/>
    <w:rsid w:val="00AC2F76"/>
    <w:rsid w:val="00AF4391"/>
    <w:rsid w:val="00AF53E7"/>
    <w:rsid w:val="00AF6E11"/>
    <w:rsid w:val="00B02E05"/>
    <w:rsid w:val="00B12FAD"/>
    <w:rsid w:val="00B20AA5"/>
    <w:rsid w:val="00B81E9B"/>
    <w:rsid w:val="00B8707F"/>
    <w:rsid w:val="00BA032E"/>
    <w:rsid w:val="00BA3745"/>
    <w:rsid w:val="00BB2AD0"/>
    <w:rsid w:val="00BB7130"/>
    <w:rsid w:val="00BD6A72"/>
    <w:rsid w:val="00BE36CB"/>
    <w:rsid w:val="00C01BA0"/>
    <w:rsid w:val="00C047EA"/>
    <w:rsid w:val="00C153AA"/>
    <w:rsid w:val="00C2539D"/>
    <w:rsid w:val="00C26379"/>
    <w:rsid w:val="00C266F0"/>
    <w:rsid w:val="00C376A2"/>
    <w:rsid w:val="00C47442"/>
    <w:rsid w:val="00C51CB3"/>
    <w:rsid w:val="00C54F72"/>
    <w:rsid w:val="00C578A1"/>
    <w:rsid w:val="00C60ADB"/>
    <w:rsid w:val="00C60FED"/>
    <w:rsid w:val="00C6475F"/>
    <w:rsid w:val="00C7222B"/>
    <w:rsid w:val="00C85EC4"/>
    <w:rsid w:val="00C87A5A"/>
    <w:rsid w:val="00C92CA8"/>
    <w:rsid w:val="00C97BE1"/>
    <w:rsid w:val="00CB02F2"/>
    <w:rsid w:val="00CD51CE"/>
    <w:rsid w:val="00CE2099"/>
    <w:rsid w:val="00CF04D8"/>
    <w:rsid w:val="00D15F9A"/>
    <w:rsid w:val="00D22452"/>
    <w:rsid w:val="00D34B08"/>
    <w:rsid w:val="00D4067C"/>
    <w:rsid w:val="00D40823"/>
    <w:rsid w:val="00D536FD"/>
    <w:rsid w:val="00D57949"/>
    <w:rsid w:val="00D60784"/>
    <w:rsid w:val="00D6651E"/>
    <w:rsid w:val="00D67F72"/>
    <w:rsid w:val="00D7612C"/>
    <w:rsid w:val="00D7657D"/>
    <w:rsid w:val="00D83757"/>
    <w:rsid w:val="00D83C68"/>
    <w:rsid w:val="00D8775B"/>
    <w:rsid w:val="00D96CE5"/>
    <w:rsid w:val="00DB218F"/>
    <w:rsid w:val="00DB61FC"/>
    <w:rsid w:val="00DC714D"/>
    <w:rsid w:val="00DD03A7"/>
    <w:rsid w:val="00DD3E7C"/>
    <w:rsid w:val="00DD5BDA"/>
    <w:rsid w:val="00DD64DE"/>
    <w:rsid w:val="00DF29FF"/>
    <w:rsid w:val="00DF725B"/>
    <w:rsid w:val="00E3740F"/>
    <w:rsid w:val="00E431BB"/>
    <w:rsid w:val="00E46FC7"/>
    <w:rsid w:val="00E5089B"/>
    <w:rsid w:val="00E51DB3"/>
    <w:rsid w:val="00E73BF9"/>
    <w:rsid w:val="00E75E1C"/>
    <w:rsid w:val="00E80F61"/>
    <w:rsid w:val="00EA38D0"/>
    <w:rsid w:val="00EB64E4"/>
    <w:rsid w:val="00ED591B"/>
    <w:rsid w:val="00EE4C2F"/>
    <w:rsid w:val="00EF0D39"/>
    <w:rsid w:val="00EF64B6"/>
    <w:rsid w:val="00F0633C"/>
    <w:rsid w:val="00F22558"/>
    <w:rsid w:val="00F33019"/>
    <w:rsid w:val="00F70F27"/>
    <w:rsid w:val="00F83F7C"/>
    <w:rsid w:val="00FA55A6"/>
    <w:rsid w:val="00FB013C"/>
    <w:rsid w:val="00FB5117"/>
    <w:rsid w:val="00FB520E"/>
    <w:rsid w:val="00FE058E"/>
    <w:rsid w:val="00FE55EE"/>
    <w:rsid w:val="00FF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71A36-F15D-4E69-AD8D-515F449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4C"/>
  </w:style>
  <w:style w:type="paragraph" w:styleId="Footer">
    <w:name w:val="footer"/>
    <w:basedOn w:val="Normal"/>
    <w:link w:val="FooterChar"/>
    <w:uiPriority w:val="99"/>
    <w:unhideWhenUsed/>
    <w:rsid w:val="00AB1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4C"/>
  </w:style>
  <w:style w:type="paragraph" w:styleId="BalloonText">
    <w:name w:val="Balloon Text"/>
    <w:basedOn w:val="Normal"/>
    <w:link w:val="BalloonTextChar"/>
    <w:uiPriority w:val="99"/>
    <w:semiHidden/>
    <w:unhideWhenUsed/>
    <w:rsid w:val="0036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5E"/>
    <w:rPr>
      <w:rFonts w:ascii="Tahoma" w:hAnsi="Tahoma" w:cs="Tahoma"/>
      <w:sz w:val="16"/>
      <w:szCs w:val="16"/>
    </w:rPr>
  </w:style>
  <w:style w:type="paragraph" w:styleId="NoSpacing">
    <w:name w:val="No Spacing"/>
    <w:link w:val="NoSpacingChar"/>
    <w:uiPriority w:val="1"/>
    <w:qFormat/>
    <w:rsid w:val="009B14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B1426"/>
    <w:rPr>
      <w:rFonts w:eastAsiaTheme="minorEastAsia"/>
      <w:lang w:eastAsia="ja-JP"/>
    </w:rPr>
  </w:style>
  <w:style w:type="paragraph" w:styleId="ListParagraph">
    <w:name w:val="List Paragraph"/>
    <w:basedOn w:val="Normal"/>
    <w:uiPriority w:val="34"/>
    <w:qFormat/>
    <w:rsid w:val="000B19B3"/>
    <w:pPr>
      <w:ind w:left="720"/>
      <w:contextualSpacing/>
    </w:pPr>
  </w:style>
  <w:style w:type="character" w:styleId="Hyperlink">
    <w:name w:val="Hyperlink"/>
    <w:basedOn w:val="DefaultParagraphFont"/>
    <w:uiPriority w:val="99"/>
    <w:unhideWhenUsed/>
    <w:rsid w:val="00EE4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220D-6EE3-45FC-BD08-4C856BE3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FINANCIAL SERVICES</dc:creator>
  <cp:lastModifiedBy>McDavid Company</cp:lastModifiedBy>
  <cp:revision>2</cp:revision>
  <cp:lastPrinted>2015-01-19T20:28:00Z</cp:lastPrinted>
  <dcterms:created xsi:type="dcterms:W3CDTF">2015-01-30T14:00:00Z</dcterms:created>
  <dcterms:modified xsi:type="dcterms:W3CDTF">2015-01-30T14:00:00Z</dcterms:modified>
</cp:coreProperties>
</file>